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6D7" w:rsidRDefault="00A406D7" w:rsidP="003A7122">
      <w:pPr>
        <w:jc w:val="center"/>
        <w:rPr>
          <w:i/>
          <w:iCs/>
        </w:rPr>
      </w:pPr>
    </w:p>
    <w:p w:rsidR="00A406D7" w:rsidRDefault="00A406D7" w:rsidP="003A7122">
      <w:pPr>
        <w:jc w:val="center"/>
        <w:rPr>
          <w:i/>
          <w:iCs/>
        </w:rPr>
      </w:pPr>
    </w:p>
    <w:p w:rsidR="00A406D7" w:rsidRDefault="00A406D7" w:rsidP="003A7122">
      <w:pPr>
        <w:jc w:val="center"/>
        <w:rPr>
          <w:i/>
          <w:iCs/>
        </w:rPr>
      </w:pPr>
    </w:p>
    <w:p w:rsidR="00A406D7" w:rsidRDefault="00A406D7" w:rsidP="003A7122">
      <w:pPr>
        <w:jc w:val="center"/>
        <w:rPr>
          <w:i/>
          <w:iCs/>
        </w:rPr>
      </w:pPr>
    </w:p>
    <w:p w:rsidR="00A406D7" w:rsidRDefault="00A406D7" w:rsidP="003A7122">
      <w:pPr>
        <w:jc w:val="center"/>
        <w:rPr>
          <w:i/>
          <w:iCs/>
        </w:rPr>
      </w:pPr>
    </w:p>
    <w:p w:rsidR="00A406D7" w:rsidRDefault="00A406D7" w:rsidP="003A7122">
      <w:pPr>
        <w:jc w:val="center"/>
        <w:rPr>
          <w:i/>
          <w:iCs/>
        </w:rPr>
      </w:pPr>
    </w:p>
    <w:p w:rsidR="00A406D7" w:rsidRDefault="00A406D7" w:rsidP="003A7122">
      <w:pPr>
        <w:jc w:val="center"/>
        <w:rPr>
          <w:i/>
          <w:iCs/>
        </w:rPr>
      </w:pPr>
    </w:p>
    <w:p w:rsidR="00A406D7" w:rsidRDefault="00A406D7" w:rsidP="003A7122">
      <w:pPr>
        <w:jc w:val="center"/>
        <w:rPr>
          <w:i/>
          <w:iCs/>
        </w:rPr>
      </w:pPr>
    </w:p>
    <w:p w:rsidR="00A406D7" w:rsidRDefault="00A406D7" w:rsidP="003A7122">
      <w:pPr>
        <w:jc w:val="center"/>
        <w:rPr>
          <w:i/>
          <w:iCs/>
        </w:rPr>
      </w:pPr>
    </w:p>
    <w:p w:rsidR="00010B3F" w:rsidRPr="00010B3F" w:rsidRDefault="005E05CC" w:rsidP="00010B3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Goodyear Dunlop Tires Operations, S.A. v. Brown</w:t>
      </w:r>
    </w:p>
    <w:p w:rsidR="00010B3F" w:rsidRPr="00124337" w:rsidRDefault="005E05CC" w:rsidP="00010B3F">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Student Name</w:t>
      </w:r>
    </w:p>
    <w:p w:rsidR="00010B3F" w:rsidRPr="00124337" w:rsidRDefault="005E05CC" w:rsidP="00010B3F">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Institution Affiliation</w:t>
      </w:r>
    </w:p>
    <w:p w:rsidR="00010B3F" w:rsidRPr="00124337" w:rsidRDefault="005E05CC" w:rsidP="00010B3F">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Date</w:t>
      </w:r>
    </w:p>
    <w:p w:rsidR="00A406D7" w:rsidRPr="00010B3F" w:rsidRDefault="00A406D7" w:rsidP="003A7122">
      <w:pPr>
        <w:jc w:val="center"/>
      </w:pPr>
    </w:p>
    <w:p w:rsidR="00A406D7" w:rsidRDefault="00A406D7" w:rsidP="003A7122">
      <w:pPr>
        <w:jc w:val="center"/>
        <w:rPr>
          <w:i/>
          <w:iCs/>
        </w:rPr>
      </w:pPr>
    </w:p>
    <w:p w:rsidR="00A406D7" w:rsidRDefault="00A406D7" w:rsidP="003A7122">
      <w:pPr>
        <w:jc w:val="center"/>
        <w:rPr>
          <w:i/>
          <w:iCs/>
        </w:rPr>
      </w:pPr>
    </w:p>
    <w:p w:rsidR="00A406D7" w:rsidRDefault="00A406D7" w:rsidP="003A7122">
      <w:pPr>
        <w:jc w:val="center"/>
        <w:rPr>
          <w:i/>
          <w:iCs/>
        </w:rPr>
      </w:pPr>
    </w:p>
    <w:p w:rsidR="00A406D7" w:rsidRDefault="00A406D7" w:rsidP="003A7122">
      <w:pPr>
        <w:jc w:val="center"/>
        <w:rPr>
          <w:i/>
          <w:iCs/>
        </w:rPr>
      </w:pPr>
    </w:p>
    <w:p w:rsidR="00A406D7" w:rsidRDefault="00A406D7" w:rsidP="003A7122">
      <w:pPr>
        <w:jc w:val="center"/>
        <w:rPr>
          <w:i/>
          <w:iCs/>
        </w:rPr>
      </w:pPr>
    </w:p>
    <w:p w:rsidR="00A406D7" w:rsidRDefault="00A406D7" w:rsidP="003A7122">
      <w:pPr>
        <w:jc w:val="center"/>
        <w:rPr>
          <w:i/>
          <w:iCs/>
        </w:rPr>
      </w:pPr>
    </w:p>
    <w:p w:rsidR="00A406D7" w:rsidRDefault="00A406D7" w:rsidP="003A7122">
      <w:pPr>
        <w:jc w:val="center"/>
        <w:rPr>
          <w:i/>
          <w:iCs/>
        </w:rPr>
      </w:pPr>
    </w:p>
    <w:p w:rsidR="00A406D7" w:rsidRDefault="00A406D7" w:rsidP="003A7122">
      <w:pPr>
        <w:jc w:val="center"/>
        <w:rPr>
          <w:i/>
          <w:iCs/>
        </w:rPr>
      </w:pPr>
    </w:p>
    <w:p w:rsidR="00A406D7" w:rsidRDefault="00A406D7" w:rsidP="003A7122">
      <w:pPr>
        <w:jc w:val="center"/>
        <w:rPr>
          <w:i/>
          <w:iCs/>
        </w:rPr>
      </w:pPr>
    </w:p>
    <w:p w:rsidR="00A406D7" w:rsidRDefault="00A406D7" w:rsidP="003A7122">
      <w:pPr>
        <w:jc w:val="center"/>
        <w:rPr>
          <w:i/>
          <w:iCs/>
        </w:rPr>
      </w:pPr>
    </w:p>
    <w:p w:rsidR="00A406D7" w:rsidRDefault="00A406D7" w:rsidP="003A7122">
      <w:pPr>
        <w:jc w:val="center"/>
        <w:rPr>
          <w:i/>
          <w:iCs/>
        </w:rPr>
      </w:pPr>
    </w:p>
    <w:p w:rsidR="00A406D7" w:rsidRDefault="00A406D7" w:rsidP="003A7122">
      <w:pPr>
        <w:jc w:val="center"/>
        <w:rPr>
          <w:i/>
          <w:iCs/>
        </w:rPr>
      </w:pPr>
    </w:p>
    <w:p w:rsidR="00A406D7" w:rsidRDefault="00A406D7" w:rsidP="003A7122">
      <w:pPr>
        <w:jc w:val="center"/>
        <w:rPr>
          <w:i/>
          <w:iCs/>
        </w:rPr>
      </w:pPr>
    </w:p>
    <w:p w:rsidR="00A406D7" w:rsidRDefault="00A406D7" w:rsidP="003A7122">
      <w:pPr>
        <w:jc w:val="center"/>
        <w:rPr>
          <w:i/>
          <w:iCs/>
        </w:rPr>
      </w:pPr>
    </w:p>
    <w:p w:rsidR="00010B3F" w:rsidRDefault="00010B3F" w:rsidP="003A7122">
      <w:pPr>
        <w:jc w:val="center"/>
        <w:rPr>
          <w:i/>
          <w:iCs/>
        </w:rPr>
      </w:pPr>
    </w:p>
    <w:p w:rsidR="003A7122" w:rsidRPr="00010B3F" w:rsidRDefault="005E05CC" w:rsidP="00010B3F">
      <w:pPr>
        <w:spacing w:line="480" w:lineRule="auto"/>
        <w:jc w:val="center"/>
        <w:rPr>
          <w:rFonts w:ascii="Times New Roman" w:hAnsi="Times New Roman" w:cs="Times New Roman"/>
          <w:i/>
          <w:iCs/>
          <w:sz w:val="24"/>
          <w:szCs w:val="24"/>
        </w:rPr>
      </w:pPr>
      <w:r w:rsidRPr="00010B3F">
        <w:rPr>
          <w:rFonts w:ascii="Times New Roman" w:hAnsi="Times New Roman" w:cs="Times New Roman"/>
          <w:i/>
          <w:iCs/>
          <w:sz w:val="24"/>
          <w:szCs w:val="24"/>
        </w:rPr>
        <w:t>Goodyear Dunlop Tires Operations, S. A. v. Brown</w:t>
      </w:r>
    </w:p>
    <w:p w:rsidR="003A7122" w:rsidRPr="00010B3F" w:rsidRDefault="005E05CC" w:rsidP="00010B3F">
      <w:pPr>
        <w:spacing w:line="480" w:lineRule="auto"/>
        <w:jc w:val="center"/>
        <w:rPr>
          <w:rFonts w:ascii="Times New Roman" w:hAnsi="Times New Roman" w:cs="Times New Roman"/>
          <w:b/>
          <w:bCs/>
          <w:sz w:val="24"/>
          <w:szCs w:val="24"/>
        </w:rPr>
      </w:pPr>
      <w:r w:rsidRPr="00010B3F">
        <w:rPr>
          <w:rFonts w:ascii="Times New Roman" w:hAnsi="Times New Roman" w:cs="Times New Roman"/>
          <w:b/>
          <w:bCs/>
          <w:sz w:val="24"/>
          <w:szCs w:val="24"/>
        </w:rPr>
        <w:t>Citation</w:t>
      </w:r>
    </w:p>
    <w:p w:rsidR="003A7122" w:rsidRPr="00010B3F" w:rsidRDefault="005E05CC" w:rsidP="00010B3F">
      <w:pPr>
        <w:spacing w:line="480" w:lineRule="auto"/>
        <w:jc w:val="both"/>
        <w:rPr>
          <w:rFonts w:ascii="Times New Roman" w:hAnsi="Times New Roman" w:cs="Times New Roman"/>
          <w:sz w:val="24"/>
          <w:szCs w:val="24"/>
        </w:rPr>
      </w:pPr>
      <w:r w:rsidRPr="00010B3F">
        <w:rPr>
          <w:rFonts w:ascii="Times New Roman" w:hAnsi="Times New Roman" w:cs="Times New Roman"/>
          <w:sz w:val="24"/>
          <w:szCs w:val="24"/>
        </w:rPr>
        <w:t>Name of the case: Goodyear Dunlop Tires Operations, S. A. v. Brown</w:t>
      </w:r>
    </w:p>
    <w:p w:rsidR="003A7122" w:rsidRPr="00010B3F" w:rsidRDefault="005E05CC" w:rsidP="00010B3F">
      <w:pPr>
        <w:spacing w:line="480" w:lineRule="auto"/>
        <w:jc w:val="both"/>
        <w:rPr>
          <w:rFonts w:ascii="Times New Roman" w:hAnsi="Times New Roman" w:cs="Times New Roman"/>
          <w:sz w:val="24"/>
          <w:szCs w:val="24"/>
        </w:rPr>
      </w:pPr>
      <w:r w:rsidRPr="00010B3F">
        <w:rPr>
          <w:rFonts w:ascii="Times New Roman" w:hAnsi="Times New Roman" w:cs="Times New Roman"/>
          <w:sz w:val="24"/>
          <w:szCs w:val="24"/>
        </w:rPr>
        <w:t xml:space="preserve">The Court that heard the case: North Carolina </w:t>
      </w:r>
      <w:r w:rsidR="008278F7" w:rsidRPr="00010B3F">
        <w:rPr>
          <w:rFonts w:ascii="Times New Roman" w:hAnsi="Times New Roman" w:cs="Times New Roman"/>
          <w:sz w:val="24"/>
          <w:szCs w:val="24"/>
        </w:rPr>
        <w:t>Court of Appeal</w:t>
      </w:r>
    </w:p>
    <w:p w:rsidR="003A7122" w:rsidRPr="00010B3F" w:rsidRDefault="005E05CC" w:rsidP="00010B3F">
      <w:pPr>
        <w:spacing w:line="480" w:lineRule="auto"/>
        <w:jc w:val="both"/>
        <w:rPr>
          <w:rFonts w:ascii="Times New Roman" w:hAnsi="Times New Roman" w:cs="Times New Roman"/>
          <w:sz w:val="24"/>
          <w:szCs w:val="24"/>
        </w:rPr>
      </w:pPr>
      <w:r w:rsidRPr="00010B3F">
        <w:rPr>
          <w:rFonts w:ascii="Times New Roman" w:hAnsi="Times New Roman" w:cs="Times New Roman"/>
          <w:sz w:val="24"/>
          <w:szCs w:val="24"/>
        </w:rPr>
        <w:t>Date when Court was decided: 27</w:t>
      </w:r>
      <w:r w:rsidRPr="00010B3F">
        <w:rPr>
          <w:rFonts w:ascii="Times New Roman" w:hAnsi="Times New Roman" w:cs="Times New Roman"/>
          <w:sz w:val="24"/>
          <w:szCs w:val="24"/>
          <w:vertAlign w:val="superscript"/>
        </w:rPr>
        <w:t>th</w:t>
      </w:r>
      <w:r w:rsidRPr="00010B3F">
        <w:rPr>
          <w:rFonts w:ascii="Times New Roman" w:hAnsi="Times New Roman" w:cs="Times New Roman"/>
          <w:sz w:val="24"/>
          <w:szCs w:val="24"/>
        </w:rPr>
        <w:t xml:space="preserve"> June 2011 </w:t>
      </w:r>
    </w:p>
    <w:p w:rsidR="003A7122" w:rsidRPr="00010B3F" w:rsidRDefault="005E05CC" w:rsidP="00010B3F">
      <w:pPr>
        <w:pStyle w:val="Heading1"/>
        <w:shd w:val="clear" w:color="auto" w:fill="FFFFFF"/>
        <w:spacing w:before="150" w:beforeAutospacing="0" w:after="75" w:afterAutospacing="0" w:line="480" w:lineRule="auto"/>
        <w:jc w:val="both"/>
        <w:rPr>
          <w:b w:val="0"/>
          <w:bCs w:val="0"/>
          <w:color w:val="1A1A1A"/>
          <w:sz w:val="24"/>
          <w:szCs w:val="24"/>
        </w:rPr>
      </w:pPr>
      <w:r w:rsidRPr="00010B3F">
        <w:rPr>
          <w:b w:val="0"/>
          <w:bCs w:val="0"/>
          <w:sz w:val="24"/>
          <w:szCs w:val="24"/>
        </w:rPr>
        <w:t xml:space="preserve">Reporter: </w:t>
      </w:r>
      <w:r w:rsidRPr="00010B3F">
        <w:rPr>
          <w:b w:val="0"/>
          <w:bCs w:val="0"/>
          <w:color w:val="1A1A1A"/>
          <w:sz w:val="24"/>
          <w:szCs w:val="24"/>
        </w:rPr>
        <w:t>564 U.S. 915 (2011)</w:t>
      </w:r>
    </w:p>
    <w:p w:rsidR="003A7122" w:rsidRPr="00010B3F" w:rsidRDefault="005E05CC" w:rsidP="00010B3F">
      <w:pPr>
        <w:spacing w:line="480" w:lineRule="auto"/>
        <w:jc w:val="center"/>
        <w:rPr>
          <w:rFonts w:ascii="Times New Roman" w:hAnsi="Times New Roman" w:cs="Times New Roman"/>
          <w:b/>
          <w:bCs/>
          <w:sz w:val="24"/>
          <w:szCs w:val="24"/>
        </w:rPr>
      </w:pPr>
      <w:r w:rsidRPr="00010B3F">
        <w:rPr>
          <w:rFonts w:ascii="Times New Roman" w:hAnsi="Times New Roman" w:cs="Times New Roman"/>
          <w:b/>
          <w:bCs/>
          <w:sz w:val="24"/>
          <w:szCs w:val="24"/>
        </w:rPr>
        <w:t>Facts</w:t>
      </w:r>
    </w:p>
    <w:p w:rsidR="003A7122" w:rsidRPr="00010B3F" w:rsidRDefault="005E05CC" w:rsidP="00010B3F">
      <w:pPr>
        <w:spacing w:after="0" w:line="480" w:lineRule="auto"/>
        <w:ind w:firstLine="851"/>
        <w:jc w:val="both"/>
        <w:rPr>
          <w:rFonts w:ascii="Times New Roman" w:hAnsi="Times New Roman" w:cs="Times New Roman"/>
          <w:sz w:val="24"/>
          <w:szCs w:val="24"/>
        </w:rPr>
      </w:pPr>
      <w:r w:rsidRPr="00010B3F">
        <w:rPr>
          <w:rFonts w:ascii="Times New Roman" w:hAnsi="Times New Roman" w:cs="Times New Roman"/>
          <w:sz w:val="24"/>
          <w:szCs w:val="24"/>
        </w:rPr>
        <w:t xml:space="preserve">The case presents events on the accident that occurred to two sons of the residents of North Carolina state in Paris, France. The residents filed a suit for the unlawful death harm to North </w:t>
      </w:r>
      <w:r w:rsidR="00E104FD">
        <w:rPr>
          <w:rFonts w:ascii="Times New Roman" w:hAnsi="Times New Roman" w:cs="Times New Roman"/>
          <w:sz w:val="24"/>
          <w:szCs w:val="24"/>
        </w:rPr>
        <w:t>Carolina. The failure of the tyr</w:t>
      </w:r>
      <w:r w:rsidRPr="00010B3F">
        <w:rPr>
          <w:rFonts w:ascii="Times New Roman" w:hAnsi="Times New Roman" w:cs="Times New Roman"/>
          <w:sz w:val="24"/>
          <w:szCs w:val="24"/>
        </w:rPr>
        <w:t xml:space="preserve">e influenced the accident. The </w:t>
      </w:r>
      <w:r w:rsidR="00B46E81" w:rsidRPr="00010B3F">
        <w:rPr>
          <w:rFonts w:ascii="Times New Roman" w:hAnsi="Times New Roman" w:cs="Times New Roman"/>
          <w:sz w:val="24"/>
          <w:szCs w:val="24"/>
        </w:rPr>
        <w:t>defendants</w:t>
      </w:r>
      <w:r w:rsidRPr="00010B3F">
        <w:rPr>
          <w:rFonts w:ascii="Times New Roman" w:hAnsi="Times New Roman" w:cs="Times New Roman"/>
          <w:sz w:val="24"/>
          <w:szCs w:val="24"/>
        </w:rPr>
        <w:t xml:space="preserve"> were three USA subsidiaries from Goodyear, a corporation in Ohio. </w:t>
      </w:r>
      <w:r w:rsidR="00B46E81" w:rsidRPr="00010B3F">
        <w:rPr>
          <w:rFonts w:ascii="Times New Roman" w:hAnsi="Times New Roman" w:cs="Times New Roman"/>
          <w:sz w:val="24"/>
          <w:szCs w:val="24"/>
        </w:rPr>
        <w:t xml:space="preserve">The petitioners' tires are known to be manufactured for the Asian and European consumers, which are different in size compared to the ones sold in the U.S. markets. The petitioners do not have a license to operate a business in North Carolina- they have bank accounts, employees, or </w:t>
      </w:r>
      <w:r w:rsidR="00D25200" w:rsidRPr="00010B3F">
        <w:rPr>
          <w:rFonts w:ascii="Times New Roman" w:hAnsi="Times New Roman" w:cs="Times New Roman"/>
          <w:sz w:val="24"/>
          <w:szCs w:val="24"/>
        </w:rPr>
        <w:t>residence</w:t>
      </w:r>
      <w:r w:rsidR="00B46E81" w:rsidRPr="00010B3F">
        <w:rPr>
          <w:rFonts w:ascii="Times New Roman" w:hAnsi="Times New Roman" w:cs="Times New Roman"/>
          <w:sz w:val="24"/>
          <w:szCs w:val="24"/>
        </w:rPr>
        <w:t xml:space="preserve"> of </w:t>
      </w:r>
      <w:r w:rsidR="00D25200" w:rsidRPr="00010B3F">
        <w:rPr>
          <w:rFonts w:ascii="Times New Roman" w:hAnsi="Times New Roman" w:cs="Times New Roman"/>
          <w:sz w:val="24"/>
          <w:szCs w:val="24"/>
        </w:rPr>
        <w:t>commerc</w:t>
      </w:r>
      <w:r w:rsidR="00D25200">
        <w:rPr>
          <w:rFonts w:ascii="Times New Roman" w:hAnsi="Times New Roman" w:cs="Times New Roman"/>
          <w:sz w:val="24"/>
          <w:szCs w:val="24"/>
        </w:rPr>
        <w:t>e</w:t>
      </w:r>
      <w:r w:rsidR="00B46E81" w:rsidRPr="00010B3F">
        <w:rPr>
          <w:rFonts w:ascii="Times New Roman" w:hAnsi="Times New Roman" w:cs="Times New Roman"/>
          <w:sz w:val="24"/>
          <w:szCs w:val="24"/>
        </w:rPr>
        <w:t xml:space="preserve"> in </w:t>
      </w:r>
      <w:r w:rsidR="00D25200">
        <w:rPr>
          <w:rFonts w:ascii="Times New Roman" w:hAnsi="Times New Roman" w:cs="Times New Roman"/>
          <w:sz w:val="24"/>
          <w:szCs w:val="24"/>
        </w:rPr>
        <w:t>the state</w:t>
      </w:r>
      <w:r w:rsidR="00A406D7" w:rsidRPr="00010B3F">
        <w:rPr>
          <w:rFonts w:ascii="Times New Roman" w:hAnsi="Times New Roman" w:cs="Times New Roman"/>
          <w:sz w:val="24"/>
          <w:szCs w:val="24"/>
        </w:rPr>
        <w:t xml:space="preserve"> (</w:t>
      </w:r>
      <w:r w:rsidR="00A406D7" w:rsidRPr="00010B3F">
        <w:rPr>
          <w:rFonts w:ascii="Times New Roman" w:hAnsi="Times New Roman" w:cs="Times New Roman"/>
          <w:color w:val="000000"/>
          <w:sz w:val="24"/>
          <w:szCs w:val="24"/>
          <w:shd w:val="clear" w:color="auto" w:fill="FFFFFF"/>
        </w:rPr>
        <w:t>Hoffheimer, 2014)</w:t>
      </w:r>
      <w:r w:rsidR="00B46E81" w:rsidRPr="00010B3F">
        <w:rPr>
          <w:rFonts w:ascii="Times New Roman" w:hAnsi="Times New Roman" w:cs="Times New Roman"/>
          <w:sz w:val="24"/>
          <w:szCs w:val="24"/>
        </w:rPr>
        <w:t xml:space="preserve">. A </w:t>
      </w:r>
      <w:r w:rsidR="00DE7385" w:rsidRPr="00010B3F">
        <w:rPr>
          <w:rFonts w:ascii="Times New Roman" w:hAnsi="Times New Roman" w:cs="Times New Roman"/>
          <w:sz w:val="24"/>
          <w:szCs w:val="24"/>
        </w:rPr>
        <w:t>trivial</w:t>
      </w:r>
      <w:r w:rsidR="00B46E81" w:rsidRPr="00010B3F">
        <w:rPr>
          <w:rFonts w:ascii="Times New Roman" w:hAnsi="Times New Roman" w:cs="Times New Roman"/>
          <w:sz w:val="24"/>
          <w:szCs w:val="24"/>
        </w:rPr>
        <w:t xml:space="preserve"> ratio of the </w:t>
      </w:r>
      <w:r w:rsidR="00D674C3" w:rsidRPr="00010B3F">
        <w:rPr>
          <w:rFonts w:ascii="Times New Roman" w:hAnsi="Times New Roman" w:cs="Times New Roman"/>
          <w:sz w:val="24"/>
          <w:szCs w:val="24"/>
        </w:rPr>
        <w:t>enervates</w:t>
      </w:r>
      <w:r w:rsidR="00B46E81" w:rsidRPr="00010B3F">
        <w:rPr>
          <w:rFonts w:ascii="Times New Roman" w:hAnsi="Times New Roman" w:cs="Times New Roman"/>
          <w:sz w:val="24"/>
          <w:szCs w:val="24"/>
        </w:rPr>
        <w:t xml:space="preserve"> was </w:t>
      </w:r>
      <w:r w:rsidR="00D674C3" w:rsidRPr="00010B3F">
        <w:rPr>
          <w:rFonts w:ascii="Times New Roman" w:hAnsi="Times New Roman" w:cs="Times New Roman"/>
          <w:sz w:val="24"/>
          <w:szCs w:val="24"/>
        </w:rPr>
        <w:t>dispersed</w:t>
      </w:r>
      <w:r w:rsidR="00B46E81" w:rsidRPr="00010B3F">
        <w:rPr>
          <w:rFonts w:ascii="Times New Roman" w:hAnsi="Times New Roman" w:cs="Times New Roman"/>
          <w:sz w:val="24"/>
          <w:szCs w:val="24"/>
        </w:rPr>
        <w:t xml:space="preserve"> to North Carolina by USA </w:t>
      </w:r>
      <w:r w:rsidR="00D674C3" w:rsidRPr="00010B3F">
        <w:rPr>
          <w:rFonts w:ascii="Times New Roman" w:hAnsi="Times New Roman" w:cs="Times New Roman"/>
          <w:sz w:val="24"/>
          <w:szCs w:val="24"/>
        </w:rPr>
        <w:t>associates</w:t>
      </w:r>
      <w:r w:rsidR="00B46E81" w:rsidRPr="00010B3F">
        <w:rPr>
          <w:rFonts w:ascii="Times New Roman" w:hAnsi="Times New Roman" w:cs="Times New Roman"/>
          <w:sz w:val="24"/>
          <w:szCs w:val="24"/>
        </w:rPr>
        <w:t xml:space="preserve"> belonging to Goodyear corporation. The Court denies the petitioner's motion to deny the dues against them as they wanted personal jurisdiction. The Court affirmed and concluded that the Court of appeal in North Carolina had jurisdiction against the petitioner, who distributed their tires to the state via "a stream of </w:t>
      </w:r>
      <w:r w:rsidR="00A406D7" w:rsidRPr="00010B3F">
        <w:rPr>
          <w:rFonts w:ascii="Times New Roman" w:hAnsi="Times New Roman" w:cs="Times New Roman"/>
          <w:sz w:val="24"/>
          <w:szCs w:val="24"/>
        </w:rPr>
        <w:t>business</w:t>
      </w:r>
      <w:r w:rsidR="00B46E81" w:rsidRPr="00010B3F">
        <w:rPr>
          <w:rFonts w:ascii="Times New Roman" w:hAnsi="Times New Roman" w:cs="Times New Roman"/>
          <w:sz w:val="24"/>
          <w:szCs w:val="24"/>
        </w:rPr>
        <w:t>."</w:t>
      </w:r>
    </w:p>
    <w:p w:rsidR="00B87B22" w:rsidRPr="00010B3F" w:rsidRDefault="005E05CC" w:rsidP="00010B3F">
      <w:pPr>
        <w:spacing w:line="480" w:lineRule="auto"/>
        <w:jc w:val="center"/>
        <w:rPr>
          <w:rFonts w:ascii="Times New Roman" w:hAnsi="Times New Roman" w:cs="Times New Roman"/>
          <w:b/>
          <w:bCs/>
          <w:sz w:val="24"/>
          <w:szCs w:val="24"/>
        </w:rPr>
      </w:pPr>
      <w:r w:rsidRPr="00010B3F">
        <w:rPr>
          <w:rFonts w:ascii="Times New Roman" w:hAnsi="Times New Roman" w:cs="Times New Roman"/>
          <w:b/>
          <w:bCs/>
          <w:sz w:val="24"/>
          <w:szCs w:val="24"/>
        </w:rPr>
        <w:t>Issue</w:t>
      </w:r>
    </w:p>
    <w:p w:rsidR="00B87B22" w:rsidRPr="00010B3F" w:rsidRDefault="005E05CC" w:rsidP="00010B3F">
      <w:pPr>
        <w:pStyle w:val="ListParagraph"/>
        <w:numPr>
          <w:ilvl w:val="0"/>
          <w:numId w:val="1"/>
        </w:numPr>
        <w:spacing w:line="480" w:lineRule="auto"/>
        <w:ind w:firstLine="0"/>
        <w:jc w:val="both"/>
        <w:rPr>
          <w:rFonts w:ascii="Times New Roman" w:hAnsi="Times New Roman" w:cs="Times New Roman"/>
          <w:b/>
          <w:bCs/>
          <w:sz w:val="24"/>
          <w:szCs w:val="24"/>
        </w:rPr>
      </w:pPr>
      <w:r w:rsidRPr="00010B3F">
        <w:rPr>
          <w:rFonts w:ascii="Times New Roman" w:hAnsi="Times New Roman" w:cs="Times New Roman"/>
          <w:sz w:val="24"/>
          <w:szCs w:val="24"/>
        </w:rPr>
        <w:t>Could the Court of Appeal in North Carolina establish jurisdiction in the case?</w:t>
      </w:r>
    </w:p>
    <w:p w:rsidR="00B87B22" w:rsidRPr="00010B3F" w:rsidRDefault="005E05CC" w:rsidP="00010B3F">
      <w:pPr>
        <w:spacing w:line="480" w:lineRule="auto"/>
        <w:jc w:val="center"/>
        <w:rPr>
          <w:rFonts w:ascii="Times New Roman" w:hAnsi="Times New Roman" w:cs="Times New Roman"/>
          <w:b/>
          <w:bCs/>
          <w:sz w:val="24"/>
          <w:szCs w:val="24"/>
        </w:rPr>
      </w:pPr>
      <w:r w:rsidRPr="00010B3F">
        <w:rPr>
          <w:rFonts w:ascii="Times New Roman" w:hAnsi="Times New Roman" w:cs="Times New Roman"/>
          <w:b/>
          <w:bCs/>
          <w:sz w:val="24"/>
          <w:szCs w:val="24"/>
        </w:rPr>
        <w:t>Holding</w:t>
      </w:r>
    </w:p>
    <w:p w:rsidR="00B87B22" w:rsidRPr="00010B3F" w:rsidRDefault="005E05CC" w:rsidP="00010B3F">
      <w:pPr>
        <w:pStyle w:val="ListParagraph"/>
        <w:numPr>
          <w:ilvl w:val="0"/>
          <w:numId w:val="2"/>
        </w:numPr>
        <w:spacing w:line="480" w:lineRule="auto"/>
        <w:ind w:firstLine="0"/>
        <w:jc w:val="both"/>
        <w:rPr>
          <w:rFonts w:ascii="Times New Roman" w:hAnsi="Times New Roman" w:cs="Times New Roman"/>
          <w:sz w:val="24"/>
          <w:szCs w:val="24"/>
        </w:rPr>
      </w:pPr>
      <w:r w:rsidRPr="00010B3F">
        <w:rPr>
          <w:rFonts w:ascii="Times New Roman" w:hAnsi="Times New Roman" w:cs="Times New Roman"/>
          <w:sz w:val="24"/>
          <w:szCs w:val="24"/>
        </w:rPr>
        <w:lastRenderedPageBreak/>
        <w:t>No. The petitioners were considered not to be compliant to fit in the state following the claims not related to the petitioners' activities in the state forum.</w:t>
      </w:r>
    </w:p>
    <w:p w:rsidR="00B87B22" w:rsidRPr="00010B3F" w:rsidRDefault="005E05CC" w:rsidP="00010B3F">
      <w:pPr>
        <w:spacing w:line="480" w:lineRule="auto"/>
        <w:jc w:val="center"/>
        <w:rPr>
          <w:rFonts w:ascii="Times New Roman" w:hAnsi="Times New Roman" w:cs="Times New Roman"/>
          <w:b/>
          <w:bCs/>
          <w:sz w:val="24"/>
          <w:szCs w:val="24"/>
        </w:rPr>
      </w:pPr>
      <w:r w:rsidRPr="00010B3F">
        <w:rPr>
          <w:rFonts w:ascii="Times New Roman" w:hAnsi="Times New Roman" w:cs="Times New Roman"/>
          <w:b/>
          <w:bCs/>
          <w:sz w:val="24"/>
          <w:szCs w:val="24"/>
        </w:rPr>
        <w:t>Reasons</w:t>
      </w:r>
    </w:p>
    <w:p w:rsidR="00B87B22" w:rsidRPr="00010B3F" w:rsidRDefault="005E05CC" w:rsidP="00010B3F">
      <w:pPr>
        <w:pStyle w:val="ListParagraph"/>
        <w:numPr>
          <w:ilvl w:val="0"/>
          <w:numId w:val="3"/>
        </w:numPr>
        <w:spacing w:line="480" w:lineRule="auto"/>
        <w:ind w:firstLine="0"/>
        <w:jc w:val="both"/>
        <w:rPr>
          <w:rFonts w:ascii="Times New Roman" w:hAnsi="Times New Roman" w:cs="Times New Roman"/>
          <w:sz w:val="24"/>
          <w:szCs w:val="24"/>
        </w:rPr>
      </w:pPr>
      <w:r w:rsidRPr="00010B3F">
        <w:rPr>
          <w:rFonts w:ascii="Times New Roman" w:hAnsi="Times New Roman" w:cs="Times New Roman"/>
          <w:sz w:val="24"/>
          <w:szCs w:val="24"/>
        </w:rPr>
        <w:t xml:space="preserve">The case against the defendant was bounded by the </w:t>
      </w:r>
      <w:r w:rsidR="00D674C3" w:rsidRPr="00010B3F">
        <w:rPr>
          <w:rFonts w:ascii="Times New Roman" w:hAnsi="Times New Roman" w:cs="Times New Roman"/>
          <w:sz w:val="24"/>
          <w:szCs w:val="24"/>
        </w:rPr>
        <w:t>outstanding</w:t>
      </w:r>
      <w:r w:rsidRPr="00010B3F">
        <w:rPr>
          <w:rFonts w:ascii="Times New Roman" w:hAnsi="Times New Roman" w:cs="Times New Roman"/>
          <w:sz w:val="24"/>
          <w:szCs w:val="24"/>
        </w:rPr>
        <w:t xml:space="preserve"> </w:t>
      </w:r>
      <w:r w:rsidR="00D674C3" w:rsidRPr="00010B3F">
        <w:rPr>
          <w:rFonts w:ascii="Times New Roman" w:hAnsi="Times New Roman" w:cs="Times New Roman"/>
          <w:sz w:val="24"/>
          <w:szCs w:val="24"/>
        </w:rPr>
        <w:t>course</w:t>
      </w:r>
      <w:r w:rsidRPr="00010B3F">
        <w:rPr>
          <w:rFonts w:ascii="Times New Roman" w:hAnsi="Times New Roman" w:cs="Times New Roman"/>
          <w:sz w:val="24"/>
          <w:szCs w:val="24"/>
        </w:rPr>
        <w:t xml:space="preserve"> section in the fourteenth amendment.  The decision of </w:t>
      </w:r>
      <w:r w:rsidRPr="00010B3F">
        <w:rPr>
          <w:rFonts w:ascii="Times New Roman" w:hAnsi="Times New Roman" w:cs="Times New Roman"/>
          <w:i/>
          <w:iCs/>
          <w:sz w:val="24"/>
          <w:szCs w:val="24"/>
        </w:rPr>
        <w:t>international shoe Co. V. Washington</w:t>
      </w:r>
      <w:r w:rsidRPr="00010B3F">
        <w:rPr>
          <w:rFonts w:ascii="Times New Roman" w:hAnsi="Times New Roman" w:cs="Times New Roman"/>
          <w:sz w:val="24"/>
          <w:szCs w:val="24"/>
        </w:rPr>
        <w:t xml:space="preserve"> reveals</w:t>
      </w:r>
      <w:r w:rsidR="00E96F7A" w:rsidRPr="00010B3F">
        <w:rPr>
          <w:rFonts w:ascii="Times New Roman" w:hAnsi="Times New Roman" w:cs="Times New Roman"/>
          <w:sz w:val="24"/>
          <w:szCs w:val="24"/>
        </w:rPr>
        <w:t xml:space="preserve"> </w:t>
      </w:r>
      <w:r w:rsidRPr="00010B3F">
        <w:rPr>
          <w:rFonts w:ascii="Times New Roman" w:hAnsi="Times New Roman" w:cs="Times New Roman"/>
          <w:sz w:val="24"/>
          <w:szCs w:val="24"/>
        </w:rPr>
        <w:t xml:space="preserve">that courts can </w:t>
      </w:r>
      <w:r w:rsidR="00A406D7" w:rsidRPr="00010B3F">
        <w:rPr>
          <w:rFonts w:ascii="Times New Roman" w:hAnsi="Times New Roman" w:cs="Times New Roman"/>
          <w:sz w:val="24"/>
          <w:szCs w:val="24"/>
        </w:rPr>
        <w:t>work out</w:t>
      </w:r>
      <w:r w:rsidRPr="00010B3F">
        <w:rPr>
          <w:rFonts w:ascii="Times New Roman" w:hAnsi="Times New Roman" w:cs="Times New Roman"/>
          <w:sz w:val="24"/>
          <w:szCs w:val="24"/>
        </w:rPr>
        <w:t xml:space="preserve"> authority </w:t>
      </w:r>
      <w:r w:rsidR="00E96F7A" w:rsidRPr="00010B3F">
        <w:rPr>
          <w:rFonts w:ascii="Times New Roman" w:hAnsi="Times New Roman" w:cs="Times New Roman"/>
          <w:sz w:val="24"/>
          <w:szCs w:val="24"/>
        </w:rPr>
        <w:t>over a defendant who does not belong to the state and has various contacts in the state, including the sustenance of suit, which is not against the values of justice</w:t>
      </w:r>
      <w:r w:rsidR="00A406D7" w:rsidRPr="00010B3F">
        <w:rPr>
          <w:rFonts w:ascii="Times New Roman" w:hAnsi="Times New Roman" w:cs="Times New Roman"/>
          <w:sz w:val="24"/>
          <w:szCs w:val="24"/>
        </w:rPr>
        <w:t xml:space="preserve"> (</w:t>
      </w:r>
      <w:r w:rsidR="00A406D7" w:rsidRPr="00010B3F">
        <w:rPr>
          <w:rFonts w:ascii="Times New Roman" w:hAnsi="Times New Roman" w:cs="Times New Roman"/>
          <w:color w:val="000000"/>
          <w:sz w:val="24"/>
          <w:szCs w:val="24"/>
          <w:shd w:val="clear" w:color="auto" w:fill="FFFFFF"/>
        </w:rPr>
        <w:t>Chase &amp; Day, 2012)</w:t>
      </w:r>
      <w:r w:rsidR="00E96F7A" w:rsidRPr="00010B3F">
        <w:rPr>
          <w:rFonts w:ascii="Times New Roman" w:hAnsi="Times New Roman" w:cs="Times New Roman"/>
          <w:sz w:val="24"/>
          <w:szCs w:val="24"/>
        </w:rPr>
        <w:t xml:space="preserve">. The out of state defendants have presented by the justice system to be of significance in making decisions. The Court realized that authority had to be asserted when the company involved is frequently involved and lead to episode-in-suit. It was also revealed that occasional and single acts in the state are sufficient in rendering the corporation responsible in North Carolina state concerning the acts, however, not considering the unrelated matters to the connections in the forum. The two descriptions present specific jurisdiction. The international shoe is considered different from </w:t>
      </w:r>
      <w:r w:rsidR="00D674C3">
        <w:rPr>
          <w:rFonts w:ascii="Times New Roman" w:hAnsi="Times New Roman" w:cs="Times New Roman"/>
          <w:sz w:val="24"/>
          <w:szCs w:val="24"/>
        </w:rPr>
        <w:t>events</w:t>
      </w:r>
      <w:r w:rsidR="00E96F7A" w:rsidRPr="00010B3F">
        <w:rPr>
          <w:rFonts w:ascii="Times New Roman" w:hAnsi="Times New Roman" w:cs="Times New Roman"/>
          <w:sz w:val="24"/>
          <w:szCs w:val="24"/>
        </w:rPr>
        <w:t xml:space="preserve"> that fit </w:t>
      </w:r>
      <w:r w:rsidR="00D674C3" w:rsidRPr="00010B3F">
        <w:rPr>
          <w:rFonts w:ascii="Times New Roman" w:hAnsi="Times New Roman" w:cs="Times New Roman"/>
          <w:sz w:val="24"/>
          <w:szCs w:val="24"/>
        </w:rPr>
        <w:t>in</w:t>
      </w:r>
      <w:r w:rsidR="00E96F7A" w:rsidRPr="00010B3F">
        <w:rPr>
          <w:rFonts w:ascii="Times New Roman" w:hAnsi="Times New Roman" w:cs="Times New Roman"/>
          <w:sz w:val="24"/>
          <w:szCs w:val="24"/>
        </w:rPr>
        <w:t xml:space="preserve"> the </w:t>
      </w:r>
      <w:r w:rsidR="00D674C3" w:rsidRPr="00010B3F">
        <w:rPr>
          <w:rFonts w:ascii="Times New Roman" w:hAnsi="Times New Roman" w:cs="Times New Roman"/>
          <w:sz w:val="24"/>
          <w:szCs w:val="24"/>
        </w:rPr>
        <w:t>precise</w:t>
      </w:r>
      <w:r w:rsidR="00E96F7A" w:rsidRPr="00010B3F">
        <w:rPr>
          <w:rFonts w:ascii="Times New Roman" w:hAnsi="Times New Roman" w:cs="Times New Roman"/>
          <w:sz w:val="24"/>
          <w:szCs w:val="24"/>
        </w:rPr>
        <w:t xml:space="preserve"> jurisdiction. The concept drawn from the case explains </w:t>
      </w:r>
      <w:r w:rsidR="00A02077" w:rsidRPr="00010B3F">
        <w:rPr>
          <w:rFonts w:ascii="Times New Roman" w:hAnsi="Times New Roman" w:cs="Times New Roman"/>
          <w:sz w:val="24"/>
          <w:szCs w:val="24"/>
        </w:rPr>
        <w:t>why the Court could not hold the petitioners responsible following the lack of systematism and continuity.</w:t>
      </w:r>
    </w:p>
    <w:p w:rsidR="00A02077" w:rsidRPr="00010B3F" w:rsidRDefault="005E05CC" w:rsidP="00010B3F">
      <w:pPr>
        <w:pStyle w:val="ListParagraph"/>
        <w:numPr>
          <w:ilvl w:val="0"/>
          <w:numId w:val="3"/>
        </w:numPr>
        <w:spacing w:line="480" w:lineRule="auto"/>
        <w:ind w:firstLine="0"/>
        <w:jc w:val="both"/>
        <w:rPr>
          <w:rFonts w:ascii="Times New Roman" w:hAnsi="Times New Roman" w:cs="Times New Roman"/>
          <w:sz w:val="24"/>
          <w:szCs w:val="24"/>
        </w:rPr>
      </w:pPr>
      <w:r w:rsidRPr="00010B3F">
        <w:rPr>
          <w:rFonts w:ascii="Times New Roman" w:hAnsi="Times New Roman" w:cs="Times New Roman"/>
          <w:sz w:val="24"/>
          <w:szCs w:val="24"/>
        </w:rPr>
        <w:t xml:space="preserve">The </w:t>
      </w:r>
      <w:r w:rsidR="00D674C3" w:rsidRPr="00010B3F">
        <w:rPr>
          <w:rFonts w:ascii="Times New Roman" w:hAnsi="Times New Roman" w:cs="Times New Roman"/>
          <w:sz w:val="24"/>
          <w:szCs w:val="24"/>
        </w:rPr>
        <w:t>supplicants</w:t>
      </w:r>
      <w:r w:rsidRPr="00010B3F">
        <w:rPr>
          <w:rFonts w:ascii="Times New Roman" w:hAnsi="Times New Roman" w:cs="Times New Roman"/>
          <w:sz w:val="24"/>
          <w:szCs w:val="24"/>
        </w:rPr>
        <w:t xml:space="preserve"> did not have the </w:t>
      </w:r>
      <w:r w:rsidR="00D674C3" w:rsidRPr="00010B3F">
        <w:rPr>
          <w:rFonts w:ascii="Times New Roman" w:hAnsi="Times New Roman" w:cs="Times New Roman"/>
          <w:sz w:val="24"/>
          <w:szCs w:val="24"/>
        </w:rPr>
        <w:t>incessant</w:t>
      </w:r>
      <w:r w:rsidRPr="00010B3F">
        <w:rPr>
          <w:rFonts w:ascii="Times New Roman" w:hAnsi="Times New Roman" w:cs="Times New Roman"/>
          <w:sz w:val="24"/>
          <w:szCs w:val="24"/>
        </w:rPr>
        <w:t xml:space="preserve"> and </w:t>
      </w:r>
      <w:r w:rsidR="00D674C3" w:rsidRPr="00010B3F">
        <w:rPr>
          <w:rFonts w:ascii="Times New Roman" w:hAnsi="Times New Roman" w:cs="Times New Roman"/>
          <w:sz w:val="24"/>
          <w:szCs w:val="24"/>
        </w:rPr>
        <w:t>orderly</w:t>
      </w:r>
      <w:r w:rsidRPr="00010B3F">
        <w:rPr>
          <w:rFonts w:ascii="Times New Roman" w:hAnsi="Times New Roman" w:cs="Times New Roman"/>
          <w:sz w:val="24"/>
          <w:szCs w:val="24"/>
        </w:rPr>
        <w:t xml:space="preserve"> </w:t>
      </w:r>
      <w:r w:rsidR="00D674C3" w:rsidRPr="00010B3F">
        <w:rPr>
          <w:rFonts w:ascii="Times New Roman" w:hAnsi="Times New Roman" w:cs="Times New Roman"/>
          <w:sz w:val="24"/>
          <w:szCs w:val="24"/>
        </w:rPr>
        <w:t>commercial</w:t>
      </w:r>
      <w:r w:rsidRPr="00010B3F">
        <w:rPr>
          <w:rFonts w:ascii="Times New Roman" w:hAnsi="Times New Roman" w:cs="Times New Roman"/>
          <w:sz w:val="24"/>
          <w:szCs w:val="24"/>
        </w:rPr>
        <w:t xml:space="preserve"> relations that could allow </w:t>
      </w:r>
      <w:r w:rsidR="00D674C3">
        <w:rPr>
          <w:rFonts w:ascii="Times New Roman" w:hAnsi="Times New Roman" w:cs="Times New Roman"/>
          <w:sz w:val="24"/>
          <w:szCs w:val="24"/>
        </w:rPr>
        <w:t xml:space="preserve">that state </w:t>
      </w:r>
      <w:r w:rsidRPr="00010B3F">
        <w:rPr>
          <w:rFonts w:ascii="Times New Roman" w:hAnsi="Times New Roman" w:cs="Times New Roman"/>
          <w:sz w:val="24"/>
          <w:szCs w:val="24"/>
        </w:rPr>
        <w:t xml:space="preserve">to amuse suit against them, </w:t>
      </w:r>
      <w:r w:rsidR="00D674C3" w:rsidRPr="00010B3F">
        <w:rPr>
          <w:rFonts w:ascii="Times New Roman" w:hAnsi="Times New Roman" w:cs="Times New Roman"/>
          <w:sz w:val="24"/>
          <w:szCs w:val="24"/>
        </w:rPr>
        <w:t>unconnected</w:t>
      </w:r>
      <w:r w:rsidRPr="00010B3F">
        <w:rPr>
          <w:rFonts w:ascii="Times New Roman" w:hAnsi="Times New Roman" w:cs="Times New Roman"/>
          <w:sz w:val="24"/>
          <w:szCs w:val="24"/>
        </w:rPr>
        <w:t xml:space="preserve"> to </w:t>
      </w:r>
      <w:r w:rsidR="00D674C3" w:rsidRPr="00010B3F">
        <w:rPr>
          <w:rFonts w:ascii="Times New Roman" w:hAnsi="Times New Roman" w:cs="Times New Roman"/>
          <w:sz w:val="24"/>
          <w:szCs w:val="24"/>
        </w:rPr>
        <w:t>whatsoever</w:t>
      </w:r>
      <w:r w:rsidRPr="00010B3F">
        <w:rPr>
          <w:rFonts w:ascii="Times New Roman" w:hAnsi="Times New Roman" w:cs="Times New Roman"/>
          <w:sz w:val="24"/>
          <w:szCs w:val="24"/>
        </w:rPr>
        <w:t xml:space="preserve"> that could connect them to the </w:t>
      </w:r>
      <w:r w:rsidR="00D674C3" w:rsidRPr="00010B3F">
        <w:rPr>
          <w:rFonts w:ascii="Times New Roman" w:hAnsi="Times New Roman" w:cs="Times New Roman"/>
          <w:sz w:val="24"/>
          <w:szCs w:val="24"/>
        </w:rPr>
        <w:t>municipal</w:t>
      </w:r>
      <w:r w:rsidRPr="00010B3F">
        <w:rPr>
          <w:rFonts w:ascii="Times New Roman" w:hAnsi="Times New Roman" w:cs="Times New Roman"/>
          <w:sz w:val="24"/>
          <w:szCs w:val="24"/>
        </w:rPr>
        <w:t xml:space="preserve">. There is a stream of business cases that North Carolina could relate with to enhance the exercise of specific authority, especially in product liability acts where nonresidents place a stream of businesses that causes harm outside their forum. The state </w:t>
      </w:r>
      <w:r w:rsidR="00D674C3" w:rsidRPr="00010B3F">
        <w:rPr>
          <w:rFonts w:ascii="Times New Roman" w:hAnsi="Times New Roman" w:cs="Times New Roman"/>
          <w:sz w:val="24"/>
          <w:szCs w:val="24"/>
        </w:rPr>
        <w:t>laws</w:t>
      </w:r>
      <w:r w:rsidRPr="00010B3F">
        <w:rPr>
          <w:rFonts w:ascii="Times New Roman" w:hAnsi="Times New Roman" w:cs="Times New Roman"/>
          <w:sz w:val="24"/>
          <w:szCs w:val="24"/>
        </w:rPr>
        <w:t xml:space="preserve"> </w:t>
      </w:r>
      <w:r w:rsidR="00D674C3" w:rsidRPr="00010B3F">
        <w:rPr>
          <w:rFonts w:ascii="Times New Roman" w:hAnsi="Times New Roman" w:cs="Times New Roman"/>
          <w:sz w:val="24"/>
          <w:szCs w:val="24"/>
        </w:rPr>
        <w:t>sanction</w:t>
      </w:r>
      <w:r w:rsidRPr="00010B3F">
        <w:rPr>
          <w:rFonts w:ascii="Times New Roman" w:hAnsi="Times New Roman" w:cs="Times New Roman"/>
          <w:sz w:val="24"/>
          <w:szCs w:val="24"/>
        </w:rPr>
        <w:t xml:space="preserve"> courts to enhance </w:t>
      </w:r>
      <w:r w:rsidR="00D674C3" w:rsidRPr="00010B3F">
        <w:rPr>
          <w:rFonts w:ascii="Times New Roman" w:hAnsi="Times New Roman" w:cs="Times New Roman"/>
          <w:sz w:val="24"/>
          <w:szCs w:val="24"/>
        </w:rPr>
        <w:t>precise</w:t>
      </w:r>
      <w:r w:rsidRPr="00010B3F">
        <w:rPr>
          <w:rFonts w:ascii="Times New Roman" w:hAnsi="Times New Roman" w:cs="Times New Roman"/>
          <w:sz w:val="24"/>
          <w:szCs w:val="24"/>
        </w:rPr>
        <w:t xml:space="preserve"> authority to the </w:t>
      </w:r>
      <w:r w:rsidR="00D674C3">
        <w:rPr>
          <w:rFonts w:ascii="Times New Roman" w:hAnsi="Times New Roman" w:cs="Times New Roman"/>
          <w:sz w:val="24"/>
          <w:szCs w:val="24"/>
        </w:rPr>
        <w:t>companies</w:t>
      </w:r>
      <w:r w:rsidRPr="00010B3F">
        <w:rPr>
          <w:rFonts w:ascii="Times New Roman" w:hAnsi="Times New Roman" w:cs="Times New Roman"/>
          <w:sz w:val="24"/>
          <w:szCs w:val="24"/>
        </w:rPr>
        <w:t xml:space="preserve"> when they happen in the state</w:t>
      </w:r>
      <w:r w:rsidR="00A406D7" w:rsidRPr="00010B3F">
        <w:rPr>
          <w:rFonts w:ascii="Times New Roman" w:hAnsi="Times New Roman" w:cs="Times New Roman"/>
          <w:sz w:val="24"/>
          <w:szCs w:val="24"/>
        </w:rPr>
        <w:t xml:space="preserve"> (</w:t>
      </w:r>
      <w:r w:rsidR="00A406D7" w:rsidRPr="00010B3F">
        <w:rPr>
          <w:rFonts w:ascii="Times New Roman" w:hAnsi="Times New Roman" w:cs="Times New Roman"/>
          <w:color w:val="000000"/>
          <w:sz w:val="24"/>
          <w:szCs w:val="24"/>
          <w:shd w:val="clear" w:color="auto" w:fill="FFFFFF"/>
        </w:rPr>
        <w:t>Hoffheimer, 2014)</w:t>
      </w:r>
      <w:r w:rsidRPr="00010B3F">
        <w:rPr>
          <w:rFonts w:ascii="Times New Roman" w:hAnsi="Times New Roman" w:cs="Times New Roman"/>
          <w:sz w:val="24"/>
          <w:szCs w:val="24"/>
        </w:rPr>
        <w:t xml:space="preserve">. In this case, the court analysis omitted essential discrepancies amid general and specific jurisdiction. </w:t>
      </w:r>
      <w:r w:rsidRPr="00010B3F">
        <w:rPr>
          <w:rFonts w:ascii="Times New Roman" w:hAnsi="Times New Roman" w:cs="Times New Roman"/>
          <w:sz w:val="24"/>
          <w:szCs w:val="24"/>
        </w:rPr>
        <w:lastRenderedPageBreak/>
        <w:t xml:space="preserve">The flow of the company's products in the forum may have strengthened the specific authority. The company's frequent activity in the state does not provide enough support to establish that the </w:t>
      </w:r>
      <w:r w:rsidR="008278F7" w:rsidRPr="00010B3F">
        <w:rPr>
          <w:rFonts w:ascii="Times New Roman" w:hAnsi="Times New Roman" w:cs="Times New Roman"/>
          <w:sz w:val="24"/>
          <w:szCs w:val="24"/>
        </w:rPr>
        <w:t>corporation</w:t>
      </w:r>
      <w:r w:rsidRPr="00010B3F">
        <w:rPr>
          <w:rFonts w:ascii="Times New Roman" w:hAnsi="Times New Roman" w:cs="Times New Roman"/>
          <w:sz w:val="24"/>
          <w:szCs w:val="24"/>
        </w:rPr>
        <w:t xml:space="preserve"> is responsible for the suits</w:t>
      </w:r>
      <w:r w:rsidR="008278F7" w:rsidRPr="00010B3F">
        <w:rPr>
          <w:rFonts w:ascii="Times New Roman" w:hAnsi="Times New Roman" w:cs="Times New Roman"/>
          <w:sz w:val="24"/>
          <w:szCs w:val="24"/>
        </w:rPr>
        <w:t xml:space="preserve"> unrelated to activities. When measured against </w:t>
      </w:r>
      <w:r w:rsidR="008278F7" w:rsidRPr="00010B3F">
        <w:rPr>
          <w:rFonts w:ascii="Times New Roman" w:hAnsi="Times New Roman" w:cs="Times New Roman"/>
          <w:i/>
          <w:iCs/>
          <w:sz w:val="24"/>
          <w:szCs w:val="24"/>
        </w:rPr>
        <w:t>the Helicopters vs. Perkins case</w:t>
      </w:r>
      <w:r w:rsidR="008278F7" w:rsidRPr="00010B3F">
        <w:rPr>
          <w:rFonts w:ascii="Times New Roman" w:hAnsi="Times New Roman" w:cs="Times New Roman"/>
          <w:sz w:val="24"/>
          <w:szCs w:val="24"/>
        </w:rPr>
        <w:t xml:space="preserve">, North Carolina could not subject the petitioner’s matter to general authority. </w:t>
      </w:r>
    </w:p>
    <w:p w:rsidR="008278F7" w:rsidRPr="00010B3F" w:rsidRDefault="008278F7" w:rsidP="00010B3F">
      <w:pPr>
        <w:pStyle w:val="ListParagraph"/>
        <w:spacing w:line="480" w:lineRule="auto"/>
        <w:jc w:val="both"/>
        <w:rPr>
          <w:rFonts w:ascii="Times New Roman" w:hAnsi="Times New Roman" w:cs="Times New Roman"/>
          <w:sz w:val="24"/>
          <w:szCs w:val="24"/>
        </w:rPr>
      </w:pPr>
    </w:p>
    <w:p w:rsidR="008278F7" w:rsidRPr="00010B3F" w:rsidRDefault="005E05CC" w:rsidP="00010B3F">
      <w:pPr>
        <w:pStyle w:val="ListParagraph"/>
        <w:spacing w:line="480" w:lineRule="auto"/>
        <w:jc w:val="center"/>
        <w:rPr>
          <w:rFonts w:ascii="Times New Roman" w:hAnsi="Times New Roman" w:cs="Times New Roman"/>
          <w:b/>
          <w:bCs/>
          <w:sz w:val="24"/>
          <w:szCs w:val="24"/>
        </w:rPr>
      </w:pPr>
      <w:r w:rsidRPr="00010B3F">
        <w:rPr>
          <w:rFonts w:ascii="Times New Roman" w:hAnsi="Times New Roman" w:cs="Times New Roman"/>
          <w:b/>
          <w:bCs/>
          <w:sz w:val="24"/>
          <w:szCs w:val="24"/>
        </w:rPr>
        <w:t>Conclusion</w:t>
      </w:r>
    </w:p>
    <w:p w:rsidR="008278F7" w:rsidRPr="00010B3F" w:rsidRDefault="005E05CC" w:rsidP="00010B3F">
      <w:pPr>
        <w:pStyle w:val="ListParagraph"/>
        <w:spacing w:after="0" w:line="480" w:lineRule="auto"/>
        <w:ind w:firstLine="851"/>
        <w:jc w:val="both"/>
        <w:rPr>
          <w:rFonts w:ascii="Times New Roman" w:hAnsi="Times New Roman" w:cs="Times New Roman"/>
          <w:sz w:val="24"/>
          <w:szCs w:val="24"/>
        </w:rPr>
      </w:pPr>
      <w:r w:rsidRPr="00010B3F">
        <w:rPr>
          <w:rFonts w:ascii="Times New Roman" w:hAnsi="Times New Roman" w:cs="Times New Roman"/>
          <w:sz w:val="24"/>
          <w:szCs w:val="24"/>
        </w:rPr>
        <w:t xml:space="preserve">The North Carolina </w:t>
      </w:r>
      <w:r w:rsidR="00D674C3" w:rsidRPr="00010B3F">
        <w:rPr>
          <w:rFonts w:ascii="Times New Roman" w:hAnsi="Times New Roman" w:cs="Times New Roman"/>
          <w:sz w:val="24"/>
          <w:szCs w:val="24"/>
        </w:rPr>
        <w:t>court of law</w:t>
      </w:r>
      <w:r w:rsidRPr="00010B3F">
        <w:rPr>
          <w:rFonts w:ascii="Times New Roman" w:hAnsi="Times New Roman" w:cs="Times New Roman"/>
          <w:sz w:val="24"/>
          <w:szCs w:val="24"/>
        </w:rPr>
        <w:t xml:space="preserve"> </w:t>
      </w:r>
      <w:r w:rsidR="00D674C3" w:rsidRPr="00010B3F">
        <w:rPr>
          <w:rFonts w:ascii="Times New Roman" w:hAnsi="Times New Roman" w:cs="Times New Roman"/>
          <w:sz w:val="24"/>
          <w:szCs w:val="24"/>
        </w:rPr>
        <w:t>decided</w:t>
      </w:r>
      <w:r w:rsidRPr="00010B3F">
        <w:rPr>
          <w:rFonts w:ascii="Times New Roman" w:hAnsi="Times New Roman" w:cs="Times New Roman"/>
          <w:sz w:val="24"/>
          <w:szCs w:val="24"/>
        </w:rPr>
        <w:t xml:space="preserve"> that the </w:t>
      </w:r>
      <w:r w:rsidR="00D674C3" w:rsidRPr="00010B3F">
        <w:rPr>
          <w:rFonts w:ascii="Times New Roman" w:hAnsi="Times New Roman" w:cs="Times New Roman"/>
          <w:sz w:val="24"/>
          <w:szCs w:val="24"/>
        </w:rPr>
        <w:t>firms</w:t>
      </w:r>
      <w:r w:rsidRPr="00010B3F">
        <w:rPr>
          <w:rFonts w:ascii="Times New Roman" w:hAnsi="Times New Roman" w:cs="Times New Roman"/>
          <w:sz w:val="24"/>
          <w:szCs w:val="24"/>
        </w:rPr>
        <w:t xml:space="preserve"> presented were not agreeable to </w:t>
      </w:r>
      <w:r w:rsidR="00D674C3" w:rsidRPr="00010B3F">
        <w:rPr>
          <w:rFonts w:ascii="Times New Roman" w:hAnsi="Times New Roman" w:cs="Times New Roman"/>
          <w:sz w:val="24"/>
          <w:szCs w:val="24"/>
        </w:rPr>
        <w:t>overall</w:t>
      </w:r>
      <w:r w:rsidRPr="00010B3F">
        <w:rPr>
          <w:rFonts w:ascii="Times New Roman" w:hAnsi="Times New Roman" w:cs="Times New Roman"/>
          <w:sz w:val="24"/>
          <w:szCs w:val="24"/>
        </w:rPr>
        <w:t xml:space="preserve"> authority because the petitioners' connections to the state were not related to systematic and continuous </w:t>
      </w:r>
      <w:r w:rsidR="00D674C3" w:rsidRPr="00010B3F">
        <w:rPr>
          <w:rFonts w:ascii="Times New Roman" w:hAnsi="Times New Roman" w:cs="Times New Roman"/>
          <w:sz w:val="24"/>
          <w:szCs w:val="24"/>
        </w:rPr>
        <w:t>commercial</w:t>
      </w:r>
      <w:r w:rsidRPr="00010B3F">
        <w:rPr>
          <w:rFonts w:ascii="Times New Roman" w:hAnsi="Times New Roman" w:cs="Times New Roman"/>
          <w:sz w:val="24"/>
          <w:szCs w:val="24"/>
        </w:rPr>
        <w:t xml:space="preserve"> </w:t>
      </w:r>
      <w:r w:rsidR="00D674C3" w:rsidRPr="00010B3F">
        <w:rPr>
          <w:rFonts w:ascii="Times New Roman" w:hAnsi="Times New Roman" w:cs="Times New Roman"/>
          <w:sz w:val="24"/>
          <w:szCs w:val="24"/>
        </w:rPr>
        <w:t>associates</w:t>
      </w:r>
      <w:r w:rsidRPr="00010B3F">
        <w:rPr>
          <w:rFonts w:ascii="Times New Roman" w:hAnsi="Times New Roman" w:cs="Times New Roman"/>
          <w:sz w:val="24"/>
          <w:szCs w:val="24"/>
        </w:rPr>
        <w:t xml:space="preserve"> to </w:t>
      </w:r>
      <w:r w:rsidR="00D674C3" w:rsidRPr="00010B3F">
        <w:rPr>
          <w:rFonts w:ascii="Times New Roman" w:hAnsi="Times New Roman" w:cs="Times New Roman"/>
          <w:sz w:val="24"/>
          <w:szCs w:val="24"/>
        </w:rPr>
        <w:t>permit</w:t>
      </w:r>
      <w:r w:rsidRPr="00010B3F">
        <w:rPr>
          <w:rFonts w:ascii="Times New Roman" w:hAnsi="Times New Roman" w:cs="Times New Roman"/>
          <w:sz w:val="24"/>
          <w:szCs w:val="24"/>
        </w:rPr>
        <w:t xml:space="preserve"> the state to establish suit against them. The </w:t>
      </w:r>
      <w:r w:rsidR="00407504" w:rsidRPr="00010B3F">
        <w:rPr>
          <w:rFonts w:ascii="Times New Roman" w:hAnsi="Times New Roman" w:cs="Times New Roman"/>
          <w:sz w:val="24"/>
          <w:szCs w:val="24"/>
        </w:rPr>
        <w:t>irregular sales</w:t>
      </w:r>
      <w:r w:rsidRPr="00010B3F">
        <w:rPr>
          <w:rFonts w:ascii="Times New Roman" w:hAnsi="Times New Roman" w:cs="Times New Roman"/>
          <w:sz w:val="24"/>
          <w:szCs w:val="24"/>
        </w:rPr>
        <w:t xml:space="preserve"> of tires in the state via intermediaries were not sufficient to enhance </w:t>
      </w:r>
      <w:r w:rsidR="00D674C3" w:rsidRPr="00010B3F">
        <w:rPr>
          <w:rFonts w:ascii="Times New Roman" w:hAnsi="Times New Roman" w:cs="Times New Roman"/>
          <w:sz w:val="24"/>
          <w:szCs w:val="24"/>
        </w:rPr>
        <w:t>universal</w:t>
      </w:r>
      <w:r w:rsidRPr="00010B3F">
        <w:rPr>
          <w:rFonts w:ascii="Times New Roman" w:hAnsi="Times New Roman" w:cs="Times New Roman"/>
          <w:sz w:val="24"/>
          <w:szCs w:val="24"/>
        </w:rPr>
        <w:t xml:space="preserve"> jurisdiction declaration. </w:t>
      </w:r>
      <w:r w:rsidR="00407504" w:rsidRPr="00010B3F">
        <w:rPr>
          <w:rFonts w:ascii="Times New Roman" w:hAnsi="Times New Roman" w:cs="Times New Roman"/>
          <w:sz w:val="24"/>
          <w:szCs w:val="24"/>
        </w:rPr>
        <w:t xml:space="preserve">In the process of giving justice, the </w:t>
      </w:r>
      <w:r w:rsidR="00D674C3" w:rsidRPr="00010B3F">
        <w:rPr>
          <w:rFonts w:ascii="Times New Roman" w:hAnsi="Times New Roman" w:cs="Times New Roman"/>
          <w:sz w:val="24"/>
          <w:szCs w:val="24"/>
        </w:rPr>
        <w:t>Law court</w:t>
      </w:r>
      <w:r w:rsidR="00407504" w:rsidRPr="00010B3F">
        <w:rPr>
          <w:rFonts w:ascii="Times New Roman" w:hAnsi="Times New Roman" w:cs="Times New Roman"/>
          <w:sz w:val="24"/>
          <w:szCs w:val="24"/>
        </w:rPr>
        <w:t xml:space="preserve"> classified the case involving defendants outside the state. The jurisdiction could have been enhanced where the activity of the defendants was systematic and continuous.</w:t>
      </w:r>
    </w:p>
    <w:p w:rsidR="00407504" w:rsidRPr="00010B3F" w:rsidRDefault="00407504" w:rsidP="00010B3F">
      <w:pPr>
        <w:pStyle w:val="ListParagraph"/>
        <w:spacing w:line="480" w:lineRule="auto"/>
        <w:jc w:val="both"/>
        <w:rPr>
          <w:rFonts w:ascii="Times New Roman" w:hAnsi="Times New Roman" w:cs="Times New Roman"/>
          <w:sz w:val="24"/>
          <w:szCs w:val="24"/>
        </w:rPr>
      </w:pPr>
    </w:p>
    <w:p w:rsidR="00010B3F" w:rsidRDefault="00010B3F" w:rsidP="00010B3F">
      <w:pPr>
        <w:pStyle w:val="ListParagraph"/>
        <w:spacing w:line="480" w:lineRule="auto"/>
        <w:jc w:val="both"/>
        <w:rPr>
          <w:rFonts w:ascii="Times New Roman" w:hAnsi="Times New Roman" w:cs="Times New Roman"/>
          <w:sz w:val="24"/>
          <w:szCs w:val="24"/>
        </w:rPr>
      </w:pPr>
    </w:p>
    <w:p w:rsidR="00437F8B" w:rsidRDefault="00437F8B" w:rsidP="00010B3F">
      <w:pPr>
        <w:pStyle w:val="ListParagraph"/>
        <w:spacing w:line="480" w:lineRule="auto"/>
        <w:jc w:val="both"/>
        <w:rPr>
          <w:rFonts w:ascii="Times New Roman" w:hAnsi="Times New Roman" w:cs="Times New Roman"/>
          <w:sz w:val="24"/>
          <w:szCs w:val="24"/>
        </w:rPr>
      </w:pPr>
    </w:p>
    <w:p w:rsidR="00437F8B" w:rsidRDefault="00437F8B" w:rsidP="00010B3F">
      <w:pPr>
        <w:pStyle w:val="ListParagraph"/>
        <w:spacing w:line="480" w:lineRule="auto"/>
        <w:jc w:val="both"/>
        <w:rPr>
          <w:rFonts w:ascii="Times New Roman" w:hAnsi="Times New Roman" w:cs="Times New Roman"/>
          <w:sz w:val="24"/>
          <w:szCs w:val="24"/>
        </w:rPr>
      </w:pPr>
    </w:p>
    <w:p w:rsidR="00437F8B" w:rsidRDefault="00437F8B" w:rsidP="00010B3F">
      <w:pPr>
        <w:pStyle w:val="ListParagraph"/>
        <w:spacing w:line="480" w:lineRule="auto"/>
        <w:jc w:val="both"/>
        <w:rPr>
          <w:rFonts w:ascii="Times New Roman" w:hAnsi="Times New Roman" w:cs="Times New Roman"/>
          <w:sz w:val="24"/>
          <w:szCs w:val="24"/>
        </w:rPr>
      </w:pPr>
    </w:p>
    <w:p w:rsidR="00010B3F" w:rsidRDefault="00010B3F" w:rsidP="00010B3F">
      <w:pPr>
        <w:pStyle w:val="ListParagraph"/>
        <w:spacing w:line="480" w:lineRule="auto"/>
        <w:jc w:val="both"/>
        <w:rPr>
          <w:rFonts w:ascii="Times New Roman" w:hAnsi="Times New Roman" w:cs="Times New Roman"/>
          <w:sz w:val="24"/>
          <w:szCs w:val="24"/>
        </w:rPr>
      </w:pPr>
    </w:p>
    <w:p w:rsidR="00010B3F" w:rsidRDefault="00010B3F" w:rsidP="00010B3F">
      <w:pPr>
        <w:pStyle w:val="ListParagraph"/>
        <w:spacing w:line="480" w:lineRule="auto"/>
        <w:jc w:val="both"/>
        <w:rPr>
          <w:rFonts w:ascii="Times New Roman" w:hAnsi="Times New Roman" w:cs="Times New Roman"/>
          <w:sz w:val="24"/>
          <w:szCs w:val="24"/>
        </w:rPr>
      </w:pPr>
    </w:p>
    <w:p w:rsidR="00010B3F" w:rsidRDefault="00010B3F" w:rsidP="00010B3F">
      <w:pPr>
        <w:pStyle w:val="ListParagraph"/>
        <w:spacing w:line="480" w:lineRule="auto"/>
        <w:jc w:val="both"/>
        <w:rPr>
          <w:rFonts w:ascii="Times New Roman" w:hAnsi="Times New Roman" w:cs="Times New Roman"/>
          <w:sz w:val="24"/>
          <w:szCs w:val="24"/>
        </w:rPr>
      </w:pPr>
    </w:p>
    <w:p w:rsidR="00010B3F" w:rsidRDefault="00010B3F" w:rsidP="00010B3F">
      <w:pPr>
        <w:pStyle w:val="ListParagraph"/>
        <w:spacing w:line="480" w:lineRule="auto"/>
        <w:jc w:val="both"/>
        <w:rPr>
          <w:rFonts w:ascii="Times New Roman" w:hAnsi="Times New Roman" w:cs="Times New Roman"/>
          <w:sz w:val="24"/>
          <w:szCs w:val="24"/>
        </w:rPr>
      </w:pPr>
    </w:p>
    <w:p w:rsidR="00010B3F" w:rsidRDefault="00010B3F" w:rsidP="00010B3F">
      <w:pPr>
        <w:pStyle w:val="ListParagraph"/>
        <w:spacing w:line="480" w:lineRule="auto"/>
        <w:jc w:val="both"/>
        <w:rPr>
          <w:rFonts w:ascii="Times New Roman" w:hAnsi="Times New Roman" w:cs="Times New Roman"/>
          <w:sz w:val="24"/>
          <w:szCs w:val="24"/>
        </w:rPr>
      </w:pPr>
    </w:p>
    <w:p w:rsidR="00010B3F" w:rsidRPr="00E104FD" w:rsidRDefault="005E05CC" w:rsidP="00E104FD">
      <w:pPr>
        <w:pStyle w:val="ListParagraph"/>
        <w:spacing w:line="480" w:lineRule="auto"/>
        <w:jc w:val="center"/>
        <w:rPr>
          <w:rFonts w:ascii="Times New Roman" w:hAnsi="Times New Roman" w:cs="Times New Roman"/>
          <w:sz w:val="24"/>
          <w:szCs w:val="24"/>
        </w:rPr>
      </w:pPr>
      <w:r w:rsidRPr="00010B3F">
        <w:rPr>
          <w:rFonts w:ascii="Times New Roman" w:hAnsi="Times New Roman" w:cs="Times New Roman"/>
          <w:sz w:val="24"/>
          <w:szCs w:val="24"/>
        </w:rPr>
        <w:lastRenderedPageBreak/>
        <w:t>References</w:t>
      </w:r>
    </w:p>
    <w:p w:rsidR="00010B3F" w:rsidRPr="00397FD2" w:rsidRDefault="005E05CC" w:rsidP="00397FD2">
      <w:pPr>
        <w:spacing w:after="0" w:line="480" w:lineRule="auto"/>
        <w:ind w:left="720" w:hanging="720"/>
        <w:jc w:val="both"/>
        <w:rPr>
          <w:rFonts w:ascii="Times New Roman" w:hAnsi="Times New Roman" w:cs="Times New Roman"/>
          <w:color w:val="000000" w:themeColor="text1"/>
          <w:sz w:val="24"/>
          <w:szCs w:val="24"/>
        </w:rPr>
      </w:pPr>
      <w:proofErr w:type="gramStart"/>
      <w:r w:rsidRPr="00397FD2">
        <w:rPr>
          <w:rFonts w:ascii="Times New Roman" w:hAnsi="Times New Roman" w:cs="Times New Roman"/>
          <w:color w:val="000000" w:themeColor="text1"/>
          <w:sz w:val="24"/>
          <w:szCs w:val="24"/>
          <w:shd w:val="clear" w:color="auto" w:fill="FFFFFF"/>
        </w:rPr>
        <w:t>Chase, O., &amp; Day, L. (2012).</w:t>
      </w:r>
      <w:proofErr w:type="gramEnd"/>
      <w:r w:rsidRPr="00397FD2">
        <w:rPr>
          <w:rFonts w:ascii="Times New Roman" w:hAnsi="Times New Roman" w:cs="Times New Roman"/>
          <w:color w:val="000000" w:themeColor="text1"/>
          <w:sz w:val="24"/>
          <w:szCs w:val="24"/>
          <w:shd w:val="clear" w:color="auto" w:fill="FFFFFF"/>
        </w:rPr>
        <w:t xml:space="preserve"> Re-Examining New York’s Law of Personal Jurisdiction after Goodyear Dunlop Tires Operations, S.A. v. Brown and J. McIntyre Machinery, Ltd. v. Nicastro. </w:t>
      </w:r>
      <w:r w:rsidRPr="00397FD2">
        <w:rPr>
          <w:rFonts w:ascii="Times New Roman" w:hAnsi="Times New Roman" w:cs="Times New Roman"/>
          <w:i/>
          <w:iCs/>
          <w:color w:val="000000" w:themeColor="text1"/>
          <w:sz w:val="24"/>
          <w:szCs w:val="24"/>
          <w:shd w:val="clear" w:color="auto" w:fill="FFFFFF"/>
        </w:rPr>
        <w:t>SSRN Electronic Journal</w:t>
      </w:r>
      <w:r w:rsidRPr="00397FD2">
        <w:rPr>
          <w:rFonts w:ascii="Times New Roman" w:hAnsi="Times New Roman" w:cs="Times New Roman"/>
          <w:color w:val="000000" w:themeColor="text1"/>
          <w:sz w:val="24"/>
          <w:szCs w:val="24"/>
          <w:shd w:val="clear" w:color="auto" w:fill="FFFFFF"/>
        </w:rPr>
        <w:t>. DOI: 10.2139/ssrn.2088205</w:t>
      </w:r>
    </w:p>
    <w:p w:rsidR="00010B3F" w:rsidRPr="00397FD2" w:rsidRDefault="005E05CC" w:rsidP="00397FD2">
      <w:pPr>
        <w:spacing w:after="0" w:line="480" w:lineRule="auto"/>
        <w:ind w:left="720" w:hanging="720"/>
        <w:jc w:val="both"/>
        <w:rPr>
          <w:rFonts w:ascii="Times New Roman" w:hAnsi="Times New Roman" w:cs="Times New Roman"/>
          <w:color w:val="000000" w:themeColor="text1"/>
          <w:sz w:val="24"/>
          <w:szCs w:val="24"/>
          <w:shd w:val="clear" w:color="auto" w:fill="FFFFFF"/>
        </w:rPr>
      </w:pPr>
      <w:bookmarkStart w:id="0" w:name="_Hlk51712344"/>
      <w:proofErr w:type="spellStart"/>
      <w:proofErr w:type="gramStart"/>
      <w:r w:rsidRPr="00397FD2">
        <w:rPr>
          <w:rFonts w:ascii="Times New Roman" w:hAnsi="Times New Roman" w:cs="Times New Roman"/>
          <w:color w:val="000000" w:themeColor="text1"/>
          <w:sz w:val="24"/>
          <w:szCs w:val="24"/>
          <w:shd w:val="clear" w:color="auto" w:fill="FFFFFF"/>
        </w:rPr>
        <w:t>Hoffheimer</w:t>
      </w:r>
      <w:proofErr w:type="spellEnd"/>
      <w:r w:rsidRPr="00397FD2">
        <w:rPr>
          <w:rFonts w:ascii="Times New Roman" w:hAnsi="Times New Roman" w:cs="Times New Roman"/>
          <w:color w:val="000000" w:themeColor="text1"/>
          <w:sz w:val="24"/>
          <w:szCs w:val="24"/>
          <w:shd w:val="clear" w:color="auto" w:fill="FFFFFF"/>
        </w:rPr>
        <w:t>, M. (2014</w:t>
      </w:r>
      <w:bookmarkEnd w:id="0"/>
      <w:r w:rsidRPr="00397FD2">
        <w:rPr>
          <w:rFonts w:ascii="Times New Roman" w:hAnsi="Times New Roman" w:cs="Times New Roman"/>
          <w:color w:val="000000" w:themeColor="text1"/>
          <w:sz w:val="24"/>
          <w:szCs w:val="24"/>
          <w:shd w:val="clear" w:color="auto" w:fill="FFFFFF"/>
        </w:rPr>
        <w:t>).</w:t>
      </w:r>
      <w:proofErr w:type="gramEnd"/>
      <w:r w:rsidRPr="00397FD2">
        <w:rPr>
          <w:rFonts w:ascii="Times New Roman" w:hAnsi="Times New Roman" w:cs="Times New Roman"/>
          <w:color w:val="000000" w:themeColor="text1"/>
          <w:sz w:val="24"/>
          <w:szCs w:val="24"/>
          <w:shd w:val="clear" w:color="auto" w:fill="FFFFFF"/>
        </w:rPr>
        <w:t xml:space="preserve"> General Personal Jurisdiction After Goodyear Dunlop Tires Operations, S.A. v. Brown. Retrieved from </w:t>
      </w:r>
      <w:hyperlink r:id="rId7" w:history="1">
        <w:r w:rsidRPr="00397FD2">
          <w:rPr>
            <w:rStyle w:val="Hyperlink"/>
            <w:rFonts w:ascii="Times New Roman" w:hAnsi="Times New Roman" w:cs="Times New Roman"/>
            <w:color w:val="000000" w:themeColor="text1"/>
            <w:sz w:val="24"/>
            <w:szCs w:val="24"/>
            <w:u w:val="none"/>
            <w:shd w:val="clear" w:color="auto" w:fill="FFFFFF"/>
          </w:rPr>
          <w:t>https://kuscholarworks.ku.edu/bitstream/handle/1808/20185/02_Hoffheimer_Final.pdf;jsessionid=507FCB499AD9BB32DE4B0FD3E98BB2D5?sequence=1</w:t>
        </w:r>
      </w:hyperlink>
    </w:p>
    <w:p w:rsidR="00407504" w:rsidRPr="00010B3F" w:rsidRDefault="00407504" w:rsidP="00010B3F">
      <w:pPr>
        <w:pStyle w:val="ListParagraph"/>
        <w:spacing w:line="480" w:lineRule="auto"/>
        <w:jc w:val="both"/>
        <w:rPr>
          <w:rFonts w:ascii="Times New Roman" w:hAnsi="Times New Roman" w:cs="Times New Roman"/>
          <w:sz w:val="24"/>
          <w:szCs w:val="24"/>
        </w:rPr>
      </w:pPr>
    </w:p>
    <w:sectPr w:rsidR="00407504" w:rsidRPr="00010B3F" w:rsidSect="00010B3F">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22D6" w:rsidRDefault="000E22D6">
      <w:pPr>
        <w:spacing w:after="0" w:line="240" w:lineRule="auto"/>
      </w:pPr>
      <w:r>
        <w:separator/>
      </w:r>
    </w:p>
  </w:endnote>
  <w:endnote w:type="continuationSeparator" w:id="0">
    <w:p w:rsidR="000E22D6" w:rsidRDefault="000E22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22D6" w:rsidRDefault="000E22D6">
      <w:pPr>
        <w:spacing w:after="0" w:line="240" w:lineRule="auto"/>
      </w:pPr>
      <w:r>
        <w:separator/>
      </w:r>
    </w:p>
  </w:footnote>
  <w:footnote w:type="continuationSeparator" w:id="0">
    <w:p w:rsidR="000E22D6" w:rsidRDefault="000E22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B3F" w:rsidRDefault="005E05CC" w:rsidP="00010B3F">
    <w:pPr>
      <w:pStyle w:val="Header"/>
    </w:pPr>
    <w:r w:rsidRPr="00010B3F">
      <w:rPr>
        <w:rFonts w:ascii="Times New Roman" w:hAnsi="Times New Roman" w:cs="Times New Roman"/>
        <w:color w:val="000000" w:themeColor="text1"/>
        <w:sz w:val="24"/>
        <w:szCs w:val="24"/>
      </w:rPr>
      <w:t xml:space="preserve">GOODYEAR DUNLOP TIRES OPERATIONS, S.A. V. BROWN      </w:t>
    </w:r>
    <w:r>
      <w:rPr>
        <w:rFonts w:ascii="Times New Roman" w:hAnsi="Times New Roman" w:cs="Times New Roman"/>
        <w:color w:val="000000" w:themeColor="text1"/>
        <w:sz w:val="24"/>
        <w:szCs w:val="24"/>
      </w:rPr>
      <w:t xml:space="preserve">                               </w:t>
    </w:r>
    <w:r w:rsidRPr="00010B3F">
      <w:rPr>
        <w:rFonts w:ascii="Times New Roman" w:hAnsi="Times New Roman" w:cs="Times New Roman"/>
        <w:color w:val="000000" w:themeColor="text1"/>
        <w:sz w:val="24"/>
        <w:szCs w:val="24"/>
      </w:rPr>
      <w:t xml:space="preserve">   </w:t>
    </w:r>
    <w:sdt>
      <w:sdtPr>
        <w:rPr>
          <w:rFonts w:ascii="Times New Roman" w:hAnsi="Times New Roman" w:cs="Times New Roman"/>
          <w:sz w:val="24"/>
          <w:szCs w:val="24"/>
        </w:rPr>
        <w:id w:val="-1400739196"/>
        <w:docPartObj>
          <w:docPartGallery w:val="Page Numbers (Top of Page)"/>
          <w:docPartUnique/>
        </w:docPartObj>
      </w:sdtPr>
      <w:sdtEndPr>
        <w:rPr>
          <w:noProof/>
        </w:rPr>
      </w:sdtEndPr>
      <w:sdtContent>
        <w:r w:rsidR="00E7601F" w:rsidRPr="00010B3F">
          <w:rPr>
            <w:rFonts w:ascii="Times New Roman" w:hAnsi="Times New Roman" w:cs="Times New Roman"/>
            <w:sz w:val="24"/>
            <w:szCs w:val="24"/>
          </w:rPr>
          <w:fldChar w:fldCharType="begin"/>
        </w:r>
        <w:r w:rsidRPr="00010B3F">
          <w:rPr>
            <w:rFonts w:ascii="Times New Roman" w:hAnsi="Times New Roman" w:cs="Times New Roman"/>
            <w:sz w:val="24"/>
            <w:szCs w:val="24"/>
          </w:rPr>
          <w:instrText xml:space="preserve"> PAGE   \* MERGEFORMAT </w:instrText>
        </w:r>
        <w:r w:rsidR="00E7601F" w:rsidRPr="00010B3F">
          <w:rPr>
            <w:rFonts w:ascii="Times New Roman" w:hAnsi="Times New Roman" w:cs="Times New Roman"/>
            <w:sz w:val="24"/>
            <w:szCs w:val="24"/>
          </w:rPr>
          <w:fldChar w:fldCharType="separate"/>
        </w:r>
        <w:r w:rsidR="00397FD2">
          <w:rPr>
            <w:rFonts w:ascii="Times New Roman" w:hAnsi="Times New Roman" w:cs="Times New Roman"/>
            <w:noProof/>
            <w:sz w:val="24"/>
            <w:szCs w:val="24"/>
          </w:rPr>
          <w:t>5</w:t>
        </w:r>
        <w:r w:rsidR="00E7601F" w:rsidRPr="00010B3F">
          <w:rPr>
            <w:rFonts w:ascii="Times New Roman" w:hAnsi="Times New Roman" w:cs="Times New Roman"/>
            <w:noProof/>
            <w:sz w:val="24"/>
            <w:szCs w:val="24"/>
          </w:rPr>
          <w:fldChar w:fldCharType="end"/>
        </w:r>
      </w:sdtContent>
    </w:sdt>
  </w:p>
  <w:p w:rsidR="00010B3F" w:rsidRDefault="00010B3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B3F" w:rsidRPr="00010B3F" w:rsidRDefault="005E05CC" w:rsidP="00010B3F">
    <w:pPr>
      <w:spacing w:line="480" w:lineRule="auto"/>
      <w:rPr>
        <w:rFonts w:ascii="Times New Roman" w:hAnsi="Times New Roman" w:cs="Times New Roman"/>
        <w:color w:val="000000" w:themeColor="text1"/>
        <w:sz w:val="24"/>
        <w:szCs w:val="24"/>
      </w:rPr>
    </w:pPr>
    <w:r w:rsidRPr="00010B3F">
      <w:rPr>
        <w:rFonts w:ascii="Times New Roman" w:hAnsi="Times New Roman" w:cs="Times New Roman"/>
        <w:sz w:val="24"/>
        <w:szCs w:val="24"/>
      </w:rPr>
      <w:t xml:space="preserve">Running head: </w:t>
    </w:r>
    <w:r w:rsidRPr="00010B3F">
      <w:rPr>
        <w:rFonts w:ascii="Times New Roman" w:hAnsi="Times New Roman" w:cs="Times New Roman"/>
        <w:color w:val="000000" w:themeColor="text1"/>
        <w:sz w:val="24"/>
        <w:szCs w:val="24"/>
      </w:rPr>
      <w:t>GOODYEAR DUNLOP TIRES OPERATIONS, S.A. V. BROWN</w:t>
    </w:r>
    <w:r>
      <w:rPr>
        <w:rFonts w:ascii="Times New Roman" w:hAnsi="Times New Roman" w:cs="Times New Roman"/>
        <w:color w:val="000000" w:themeColor="text1"/>
        <w:sz w:val="24"/>
        <w:szCs w:val="24"/>
      </w:rPr>
      <w:t xml:space="preserve">         1</w:t>
    </w:r>
  </w:p>
  <w:p w:rsidR="00010B3F" w:rsidRDefault="00010B3F" w:rsidP="00010B3F">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E7BF4"/>
    <w:multiLevelType w:val="hybridMultilevel"/>
    <w:tmpl w:val="3140BF30"/>
    <w:lvl w:ilvl="0" w:tplc="1222DDE6">
      <w:start w:val="1"/>
      <w:numFmt w:val="decimal"/>
      <w:lvlText w:val="%1."/>
      <w:lvlJc w:val="left"/>
      <w:pPr>
        <w:ind w:left="720" w:hanging="360"/>
      </w:pPr>
      <w:rPr>
        <w:rFonts w:hint="default"/>
      </w:rPr>
    </w:lvl>
    <w:lvl w:ilvl="1" w:tplc="62B895D2" w:tentative="1">
      <w:start w:val="1"/>
      <w:numFmt w:val="lowerLetter"/>
      <w:lvlText w:val="%2."/>
      <w:lvlJc w:val="left"/>
      <w:pPr>
        <w:ind w:left="1440" w:hanging="360"/>
      </w:pPr>
    </w:lvl>
    <w:lvl w:ilvl="2" w:tplc="FF7615E2" w:tentative="1">
      <w:start w:val="1"/>
      <w:numFmt w:val="lowerRoman"/>
      <w:lvlText w:val="%3."/>
      <w:lvlJc w:val="right"/>
      <w:pPr>
        <w:ind w:left="2160" w:hanging="180"/>
      </w:pPr>
    </w:lvl>
    <w:lvl w:ilvl="3" w:tplc="01A0D542" w:tentative="1">
      <w:start w:val="1"/>
      <w:numFmt w:val="decimal"/>
      <w:lvlText w:val="%4."/>
      <w:lvlJc w:val="left"/>
      <w:pPr>
        <w:ind w:left="2880" w:hanging="360"/>
      </w:pPr>
    </w:lvl>
    <w:lvl w:ilvl="4" w:tplc="F276254E" w:tentative="1">
      <w:start w:val="1"/>
      <w:numFmt w:val="lowerLetter"/>
      <w:lvlText w:val="%5."/>
      <w:lvlJc w:val="left"/>
      <w:pPr>
        <w:ind w:left="3600" w:hanging="360"/>
      </w:pPr>
    </w:lvl>
    <w:lvl w:ilvl="5" w:tplc="935A567C" w:tentative="1">
      <w:start w:val="1"/>
      <w:numFmt w:val="lowerRoman"/>
      <w:lvlText w:val="%6."/>
      <w:lvlJc w:val="right"/>
      <w:pPr>
        <w:ind w:left="4320" w:hanging="180"/>
      </w:pPr>
    </w:lvl>
    <w:lvl w:ilvl="6" w:tplc="36606BD0" w:tentative="1">
      <w:start w:val="1"/>
      <w:numFmt w:val="decimal"/>
      <w:lvlText w:val="%7."/>
      <w:lvlJc w:val="left"/>
      <w:pPr>
        <w:ind w:left="5040" w:hanging="360"/>
      </w:pPr>
    </w:lvl>
    <w:lvl w:ilvl="7" w:tplc="AB18228C" w:tentative="1">
      <w:start w:val="1"/>
      <w:numFmt w:val="lowerLetter"/>
      <w:lvlText w:val="%8."/>
      <w:lvlJc w:val="left"/>
      <w:pPr>
        <w:ind w:left="5760" w:hanging="360"/>
      </w:pPr>
    </w:lvl>
    <w:lvl w:ilvl="8" w:tplc="C0167F7E" w:tentative="1">
      <w:start w:val="1"/>
      <w:numFmt w:val="lowerRoman"/>
      <w:lvlText w:val="%9."/>
      <w:lvlJc w:val="right"/>
      <w:pPr>
        <w:ind w:left="6480" w:hanging="180"/>
      </w:pPr>
    </w:lvl>
  </w:abstractNum>
  <w:abstractNum w:abstractNumId="1">
    <w:nsid w:val="249F31AF"/>
    <w:multiLevelType w:val="hybridMultilevel"/>
    <w:tmpl w:val="75CC9766"/>
    <w:lvl w:ilvl="0" w:tplc="C9289258">
      <w:start w:val="1"/>
      <w:numFmt w:val="decimal"/>
      <w:lvlText w:val="%1."/>
      <w:lvlJc w:val="left"/>
      <w:pPr>
        <w:ind w:left="720" w:hanging="360"/>
      </w:pPr>
      <w:rPr>
        <w:rFonts w:hint="default"/>
      </w:rPr>
    </w:lvl>
    <w:lvl w:ilvl="1" w:tplc="D86EB716" w:tentative="1">
      <w:start w:val="1"/>
      <w:numFmt w:val="lowerLetter"/>
      <w:lvlText w:val="%2."/>
      <w:lvlJc w:val="left"/>
      <w:pPr>
        <w:ind w:left="1440" w:hanging="360"/>
      </w:pPr>
    </w:lvl>
    <w:lvl w:ilvl="2" w:tplc="6DDC1E18" w:tentative="1">
      <w:start w:val="1"/>
      <w:numFmt w:val="lowerRoman"/>
      <w:lvlText w:val="%3."/>
      <w:lvlJc w:val="right"/>
      <w:pPr>
        <w:ind w:left="2160" w:hanging="180"/>
      </w:pPr>
    </w:lvl>
    <w:lvl w:ilvl="3" w:tplc="BF62AB14" w:tentative="1">
      <w:start w:val="1"/>
      <w:numFmt w:val="decimal"/>
      <w:lvlText w:val="%4."/>
      <w:lvlJc w:val="left"/>
      <w:pPr>
        <w:ind w:left="2880" w:hanging="360"/>
      </w:pPr>
    </w:lvl>
    <w:lvl w:ilvl="4" w:tplc="A9128ECC" w:tentative="1">
      <w:start w:val="1"/>
      <w:numFmt w:val="lowerLetter"/>
      <w:lvlText w:val="%5."/>
      <w:lvlJc w:val="left"/>
      <w:pPr>
        <w:ind w:left="3600" w:hanging="360"/>
      </w:pPr>
    </w:lvl>
    <w:lvl w:ilvl="5" w:tplc="A3B4A982" w:tentative="1">
      <w:start w:val="1"/>
      <w:numFmt w:val="lowerRoman"/>
      <w:lvlText w:val="%6."/>
      <w:lvlJc w:val="right"/>
      <w:pPr>
        <w:ind w:left="4320" w:hanging="180"/>
      </w:pPr>
    </w:lvl>
    <w:lvl w:ilvl="6" w:tplc="6CC88DAC" w:tentative="1">
      <w:start w:val="1"/>
      <w:numFmt w:val="decimal"/>
      <w:lvlText w:val="%7."/>
      <w:lvlJc w:val="left"/>
      <w:pPr>
        <w:ind w:left="5040" w:hanging="360"/>
      </w:pPr>
    </w:lvl>
    <w:lvl w:ilvl="7" w:tplc="A5D67196" w:tentative="1">
      <w:start w:val="1"/>
      <w:numFmt w:val="lowerLetter"/>
      <w:lvlText w:val="%8."/>
      <w:lvlJc w:val="left"/>
      <w:pPr>
        <w:ind w:left="5760" w:hanging="360"/>
      </w:pPr>
    </w:lvl>
    <w:lvl w:ilvl="8" w:tplc="E2D83480" w:tentative="1">
      <w:start w:val="1"/>
      <w:numFmt w:val="lowerRoman"/>
      <w:lvlText w:val="%9."/>
      <w:lvlJc w:val="right"/>
      <w:pPr>
        <w:ind w:left="6480" w:hanging="180"/>
      </w:pPr>
    </w:lvl>
  </w:abstractNum>
  <w:abstractNum w:abstractNumId="2">
    <w:nsid w:val="349167CD"/>
    <w:multiLevelType w:val="hybridMultilevel"/>
    <w:tmpl w:val="F00A6E70"/>
    <w:lvl w:ilvl="0" w:tplc="C62C226A">
      <w:start w:val="1"/>
      <w:numFmt w:val="decimal"/>
      <w:lvlText w:val="%1."/>
      <w:lvlJc w:val="left"/>
      <w:pPr>
        <w:ind w:left="720" w:hanging="360"/>
      </w:pPr>
    </w:lvl>
    <w:lvl w:ilvl="1" w:tplc="A22041EE" w:tentative="1">
      <w:start w:val="1"/>
      <w:numFmt w:val="lowerLetter"/>
      <w:lvlText w:val="%2."/>
      <w:lvlJc w:val="left"/>
      <w:pPr>
        <w:ind w:left="1440" w:hanging="360"/>
      </w:pPr>
    </w:lvl>
    <w:lvl w:ilvl="2" w:tplc="BBB6D43C" w:tentative="1">
      <w:start w:val="1"/>
      <w:numFmt w:val="lowerRoman"/>
      <w:lvlText w:val="%3."/>
      <w:lvlJc w:val="right"/>
      <w:pPr>
        <w:ind w:left="2160" w:hanging="180"/>
      </w:pPr>
    </w:lvl>
    <w:lvl w:ilvl="3" w:tplc="BAE69C9E" w:tentative="1">
      <w:start w:val="1"/>
      <w:numFmt w:val="decimal"/>
      <w:lvlText w:val="%4."/>
      <w:lvlJc w:val="left"/>
      <w:pPr>
        <w:ind w:left="2880" w:hanging="360"/>
      </w:pPr>
    </w:lvl>
    <w:lvl w:ilvl="4" w:tplc="050AAB34" w:tentative="1">
      <w:start w:val="1"/>
      <w:numFmt w:val="lowerLetter"/>
      <w:lvlText w:val="%5."/>
      <w:lvlJc w:val="left"/>
      <w:pPr>
        <w:ind w:left="3600" w:hanging="360"/>
      </w:pPr>
    </w:lvl>
    <w:lvl w:ilvl="5" w:tplc="8EAE2FFE" w:tentative="1">
      <w:start w:val="1"/>
      <w:numFmt w:val="lowerRoman"/>
      <w:lvlText w:val="%6."/>
      <w:lvlJc w:val="right"/>
      <w:pPr>
        <w:ind w:left="4320" w:hanging="180"/>
      </w:pPr>
    </w:lvl>
    <w:lvl w:ilvl="6" w:tplc="A5064B38" w:tentative="1">
      <w:start w:val="1"/>
      <w:numFmt w:val="decimal"/>
      <w:lvlText w:val="%7."/>
      <w:lvlJc w:val="left"/>
      <w:pPr>
        <w:ind w:left="5040" w:hanging="360"/>
      </w:pPr>
    </w:lvl>
    <w:lvl w:ilvl="7" w:tplc="3BC8D436" w:tentative="1">
      <w:start w:val="1"/>
      <w:numFmt w:val="lowerLetter"/>
      <w:lvlText w:val="%8."/>
      <w:lvlJc w:val="left"/>
      <w:pPr>
        <w:ind w:left="5760" w:hanging="360"/>
      </w:pPr>
    </w:lvl>
    <w:lvl w:ilvl="8" w:tplc="9784077E"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A7122"/>
    <w:rsid w:val="00010B3F"/>
    <w:rsid w:val="0009250B"/>
    <w:rsid w:val="000E22D6"/>
    <w:rsid w:val="00124337"/>
    <w:rsid w:val="001B377C"/>
    <w:rsid w:val="002A1134"/>
    <w:rsid w:val="00397FD2"/>
    <w:rsid w:val="003A7122"/>
    <w:rsid w:val="00407504"/>
    <w:rsid w:val="00437F8B"/>
    <w:rsid w:val="005356F6"/>
    <w:rsid w:val="005E05CC"/>
    <w:rsid w:val="007A100A"/>
    <w:rsid w:val="008278F7"/>
    <w:rsid w:val="008F1532"/>
    <w:rsid w:val="00A02077"/>
    <w:rsid w:val="00A406D7"/>
    <w:rsid w:val="00B46E81"/>
    <w:rsid w:val="00B87B22"/>
    <w:rsid w:val="00D25200"/>
    <w:rsid w:val="00D674C3"/>
    <w:rsid w:val="00D80BA5"/>
    <w:rsid w:val="00DE7385"/>
    <w:rsid w:val="00E104FD"/>
    <w:rsid w:val="00E7601F"/>
    <w:rsid w:val="00E96F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BA5"/>
  </w:style>
  <w:style w:type="paragraph" w:styleId="Heading1">
    <w:name w:val="heading 1"/>
    <w:basedOn w:val="Normal"/>
    <w:link w:val="Heading1Char"/>
    <w:uiPriority w:val="9"/>
    <w:qFormat/>
    <w:rsid w:val="003A71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122"/>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B87B22"/>
    <w:pPr>
      <w:ind w:left="720"/>
      <w:contextualSpacing/>
    </w:pPr>
  </w:style>
  <w:style w:type="character" w:styleId="Hyperlink">
    <w:name w:val="Hyperlink"/>
    <w:basedOn w:val="DefaultParagraphFont"/>
    <w:uiPriority w:val="99"/>
    <w:unhideWhenUsed/>
    <w:rsid w:val="00A406D7"/>
    <w:rPr>
      <w:color w:val="0563C1" w:themeColor="hyperlink"/>
      <w:u w:val="single"/>
    </w:rPr>
  </w:style>
  <w:style w:type="character" w:customStyle="1" w:styleId="UnresolvedMention1">
    <w:name w:val="Unresolved Mention1"/>
    <w:basedOn w:val="DefaultParagraphFont"/>
    <w:uiPriority w:val="99"/>
    <w:semiHidden/>
    <w:unhideWhenUsed/>
    <w:rsid w:val="00A406D7"/>
    <w:rPr>
      <w:color w:val="605E5C"/>
      <w:shd w:val="clear" w:color="auto" w:fill="E1DFDD"/>
    </w:rPr>
  </w:style>
  <w:style w:type="paragraph" w:styleId="Header">
    <w:name w:val="header"/>
    <w:basedOn w:val="Normal"/>
    <w:link w:val="HeaderChar"/>
    <w:uiPriority w:val="99"/>
    <w:unhideWhenUsed/>
    <w:rsid w:val="00010B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0B3F"/>
  </w:style>
  <w:style w:type="paragraph" w:styleId="Footer">
    <w:name w:val="footer"/>
    <w:basedOn w:val="Normal"/>
    <w:link w:val="FooterChar"/>
    <w:uiPriority w:val="99"/>
    <w:unhideWhenUsed/>
    <w:rsid w:val="00010B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0B3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kuscholarworks.ku.edu/bitstream/handle/1808/20185/02_Hoffheimer_Final.pdf;jsessionid=507FCB499AD9BB32DE4B0FD3E98BB2D5?sequence=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786</Words>
  <Characters>4482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2020-09-23T10:22:00Z</dcterms:created>
  <dcterms:modified xsi:type="dcterms:W3CDTF">2020-09-23T10:22:00Z</dcterms:modified>
</cp:coreProperties>
</file>